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21" w:rsidRDefault="00756721">
      <w:pPr>
        <w:pStyle w:val="Intestazione"/>
        <w:tabs>
          <w:tab w:val="clear" w:pos="4819"/>
          <w:tab w:val="clear" w:pos="9638"/>
        </w:tabs>
      </w:pPr>
    </w:p>
    <w:p w:rsidR="00756721" w:rsidRDefault="00756721">
      <w:pPr>
        <w:pStyle w:val="Intestazione"/>
        <w:tabs>
          <w:tab w:val="clear" w:pos="4819"/>
          <w:tab w:val="clear" w:pos="9638"/>
        </w:tabs>
      </w:pPr>
    </w:p>
    <w:p w:rsidR="00092704" w:rsidRDefault="00674EDF">
      <w:pPr>
        <w:pStyle w:val="Intestazione"/>
        <w:tabs>
          <w:tab w:val="clear" w:pos="4819"/>
          <w:tab w:val="clear" w:pos="9638"/>
        </w:tabs>
      </w:pPr>
      <w:r>
        <w:t xml:space="preserve">     VIS</w:t>
      </w:r>
      <w:r w:rsidR="00037B8E">
        <w:t xml:space="preserve">TO </w:t>
      </w:r>
      <w:r w:rsidR="00092704">
        <w:t>il decreto legislativo 30 luglio 1999, n. 300 recante riforma  dell’organizzazione del Governo a norma dell’art. 11 della legge 15 marzo 1997, n. 59;</w:t>
      </w:r>
    </w:p>
    <w:p w:rsidR="00092704" w:rsidRDefault="00092704">
      <w:pPr>
        <w:pStyle w:val="Intestazione"/>
        <w:tabs>
          <w:tab w:val="clear" w:pos="4819"/>
          <w:tab w:val="clear" w:pos="9638"/>
        </w:tabs>
      </w:pPr>
    </w:p>
    <w:p w:rsidR="00092704" w:rsidRDefault="00092704">
      <w:pPr>
        <w:pStyle w:val="Intestazione"/>
        <w:tabs>
          <w:tab w:val="clear" w:pos="4819"/>
          <w:tab w:val="clear" w:pos="9638"/>
        </w:tabs>
      </w:pPr>
      <w:r>
        <w:t xml:space="preserve">     VISTO il D.P.R. 14 febbrai</w:t>
      </w:r>
      <w:r w:rsidR="00001CD0">
        <w:t>o</w:t>
      </w:r>
      <w:r>
        <w:t xml:space="preserve"> 2012, n. 41 recante riorganizzazione del Ministero delle </w:t>
      </w:r>
      <w:r w:rsidR="00001CD0">
        <w:t>p</w:t>
      </w:r>
      <w:r>
        <w:t>olitiche agricole alimentari e forestal</w:t>
      </w:r>
      <w:r w:rsidR="00037B8E">
        <w:t>i</w:t>
      </w:r>
      <w:r>
        <w:t>;</w:t>
      </w:r>
    </w:p>
    <w:p w:rsidR="00092704" w:rsidRDefault="00092704">
      <w:pPr>
        <w:pStyle w:val="Intestazione"/>
        <w:tabs>
          <w:tab w:val="clear" w:pos="4819"/>
          <w:tab w:val="clear" w:pos="9638"/>
        </w:tabs>
      </w:pPr>
    </w:p>
    <w:p w:rsidR="00DD75DA" w:rsidRDefault="00092704">
      <w:pPr>
        <w:pStyle w:val="Intestazione"/>
        <w:tabs>
          <w:tab w:val="clear" w:pos="4819"/>
          <w:tab w:val="clear" w:pos="9638"/>
        </w:tabs>
      </w:pPr>
      <w:r>
        <w:t xml:space="preserve">     VISTO il</w:t>
      </w:r>
      <w:r w:rsidR="00037B8E">
        <w:t xml:space="preserve"> Regolamento (CE)  104/2000 del Consiglio dell’Unione Europea del 17 dicembre 1999, relativo all’organizzazione comune dei mercati nel settore dei prodotti della pesca e dell’acquacoltura, in particolare gli articoli 5 e 6 relativi alle condizioni, concessione e revoca del riconoscimento delle </w:t>
      </w:r>
      <w:r w:rsidR="00B655B9">
        <w:t>O</w:t>
      </w:r>
      <w:r w:rsidR="00037B8E">
        <w:t>rganizzazioni di produttori;</w:t>
      </w:r>
    </w:p>
    <w:p w:rsidR="00037B8E" w:rsidRDefault="00037B8E">
      <w:pPr>
        <w:pStyle w:val="Intestazione"/>
        <w:tabs>
          <w:tab w:val="clear" w:pos="4819"/>
          <w:tab w:val="clear" w:pos="9638"/>
        </w:tabs>
      </w:pPr>
    </w:p>
    <w:p w:rsidR="00037B8E" w:rsidRDefault="00E85520">
      <w:pPr>
        <w:pStyle w:val="Intestazione"/>
        <w:tabs>
          <w:tab w:val="clear" w:pos="4819"/>
          <w:tab w:val="clear" w:pos="9638"/>
        </w:tabs>
      </w:pPr>
      <w:r>
        <w:t xml:space="preserve">     </w:t>
      </w:r>
      <w:r w:rsidR="00037B8E">
        <w:t>VISTO il Regolamento (CE)  2318/2001 della Commissione Europea del 29 novembre 2001, relativo alle modalità di applicazione del Regolamento 104/2000 per quanto concerne il riconoscimento delle Organizzazioni di produttori della pesca;</w:t>
      </w:r>
    </w:p>
    <w:p w:rsidR="00692A63" w:rsidRDefault="00692A63">
      <w:pPr>
        <w:pStyle w:val="Intestazione"/>
        <w:tabs>
          <w:tab w:val="clear" w:pos="4819"/>
          <w:tab w:val="clear" w:pos="9638"/>
        </w:tabs>
      </w:pPr>
    </w:p>
    <w:p w:rsidR="00692A63" w:rsidRDefault="00692A63">
      <w:pPr>
        <w:pStyle w:val="Intestazione"/>
        <w:tabs>
          <w:tab w:val="clear" w:pos="4819"/>
          <w:tab w:val="clear" w:pos="9638"/>
        </w:tabs>
      </w:pPr>
      <w:r>
        <w:t xml:space="preserve">     VISTA la Circolare del Ministero delle Politiche Agricole e Forestali del 20 maggio 2003, n. 200303644, applicativa della normativa CE in materia di Organizzazioni di produttori, in particolare la parte relativa alle modalità di riconoscimento delle Organizzazioni di produttori;</w:t>
      </w:r>
    </w:p>
    <w:p w:rsidR="00E85520" w:rsidRDefault="00E85520">
      <w:pPr>
        <w:pStyle w:val="Intestazione"/>
        <w:tabs>
          <w:tab w:val="clear" w:pos="4819"/>
          <w:tab w:val="clear" w:pos="9638"/>
        </w:tabs>
      </w:pPr>
    </w:p>
    <w:p w:rsidR="008F0BDA" w:rsidRDefault="004A38D9">
      <w:pPr>
        <w:pStyle w:val="Intestazione"/>
        <w:tabs>
          <w:tab w:val="clear" w:pos="4819"/>
          <w:tab w:val="clear" w:pos="9638"/>
        </w:tabs>
      </w:pPr>
      <w:r>
        <w:t xml:space="preserve">     VIST</w:t>
      </w:r>
      <w:r w:rsidR="004D41A1">
        <w:t xml:space="preserve">E le istanze in data </w:t>
      </w:r>
      <w:r w:rsidR="000074FA">
        <w:t xml:space="preserve"> 12 marzo 2013</w:t>
      </w:r>
      <w:r w:rsidR="004D41A1">
        <w:t xml:space="preserve"> </w:t>
      </w:r>
      <w:r w:rsidR="006E0206">
        <w:t>e 8 aprile 2013</w:t>
      </w:r>
      <w:r w:rsidR="00E80682">
        <w:t>,</w:t>
      </w:r>
      <w:r w:rsidR="00E85520">
        <w:t xml:space="preserve"> </w:t>
      </w:r>
      <w:r w:rsidR="006E0206">
        <w:t xml:space="preserve">nonché le istanze in data 19 ottobre 2012 e 21 novembre 2012 pervenute per il tramite della Regione Emilia-Romagna, </w:t>
      </w:r>
      <w:r w:rsidR="00E85520">
        <w:t>con l</w:t>
      </w:r>
      <w:r w:rsidR="00E80682">
        <w:t>e</w:t>
      </w:r>
      <w:r w:rsidR="00E85520">
        <w:t xml:space="preserve"> </w:t>
      </w:r>
      <w:r w:rsidR="007A7284">
        <w:t>qual</w:t>
      </w:r>
      <w:r w:rsidR="00E80682">
        <w:t>i</w:t>
      </w:r>
      <w:r w:rsidR="007A7284">
        <w:t xml:space="preserve"> </w:t>
      </w:r>
      <w:r w:rsidR="00E85520">
        <w:t xml:space="preserve">la </w:t>
      </w:r>
      <w:r w:rsidR="004D41A1">
        <w:t xml:space="preserve">“ORGANIZZAZIONE </w:t>
      </w:r>
      <w:proofErr w:type="spellStart"/>
      <w:r w:rsidR="004D41A1">
        <w:t>DI</w:t>
      </w:r>
      <w:proofErr w:type="spellEnd"/>
      <w:r w:rsidR="004D41A1">
        <w:t xml:space="preserve"> PRODUTTORI DELLA VONGOLA E DEI MOLLUSCHI </w:t>
      </w:r>
      <w:proofErr w:type="spellStart"/>
      <w:r w:rsidR="004D41A1">
        <w:t>DI</w:t>
      </w:r>
      <w:proofErr w:type="spellEnd"/>
      <w:r w:rsidR="004D41A1">
        <w:t xml:space="preserve"> RIMINI </w:t>
      </w:r>
      <w:r w:rsidR="00150317">
        <w:t xml:space="preserve"> </w:t>
      </w:r>
      <w:proofErr w:type="spellStart"/>
      <w:r w:rsidR="00150317">
        <w:t>SOC</w:t>
      </w:r>
      <w:proofErr w:type="spellEnd"/>
      <w:r w:rsidR="004D41A1">
        <w:t>.</w:t>
      </w:r>
      <w:r w:rsidR="00150317">
        <w:t xml:space="preserve"> COOP. con sede a Rimini</w:t>
      </w:r>
      <w:r w:rsidR="008A1BCC">
        <w:t>,</w:t>
      </w:r>
      <w:r w:rsidR="00E85520">
        <w:t xml:space="preserve"> </w:t>
      </w:r>
      <w:r w:rsidR="006E0206">
        <w:t xml:space="preserve">costituita con atto in data 20 settembre 2012 per Notaio Enrico </w:t>
      </w:r>
      <w:proofErr w:type="spellStart"/>
      <w:r w:rsidR="006E0206">
        <w:t>Franciosi</w:t>
      </w:r>
      <w:proofErr w:type="spellEnd"/>
      <w:r w:rsidR="006E0206">
        <w:t xml:space="preserve"> di Rimini, repertorio n. 153.025, </w:t>
      </w:r>
      <w:r w:rsidR="00E85520">
        <w:t>ha chiesto, ai sensi del Regolamento (CE)</w:t>
      </w:r>
      <w:r w:rsidR="00F8487D">
        <w:t xml:space="preserve"> 104/2000,</w:t>
      </w:r>
      <w:r w:rsidR="008A1BCC">
        <w:t xml:space="preserve"> art.5</w:t>
      </w:r>
      <w:r w:rsidR="007A46BF">
        <w:t xml:space="preserve"> e 6</w:t>
      </w:r>
      <w:r w:rsidR="008A1BCC">
        <w:t>,</w:t>
      </w:r>
      <w:r w:rsidR="00F8487D">
        <w:t xml:space="preserve"> il riconoscimento come Organizzazione di produttori</w:t>
      </w:r>
      <w:r w:rsidR="00E85520">
        <w:t xml:space="preserve"> </w:t>
      </w:r>
      <w:r w:rsidR="00F8487D">
        <w:t>della pesca per l</w:t>
      </w:r>
      <w:r w:rsidR="000D6928">
        <w:t>e</w:t>
      </w:r>
      <w:r w:rsidR="00F8487D">
        <w:t xml:space="preserve"> specie </w:t>
      </w:r>
      <w:r w:rsidR="00092704">
        <w:t xml:space="preserve">di molluschi bivalvi </w:t>
      </w:r>
      <w:r w:rsidR="00756721">
        <w:t>indicate</w:t>
      </w:r>
      <w:r w:rsidR="007A46BF">
        <w:t xml:space="preserve"> nell</w:t>
      </w:r>
      <w:r w:rsidR="00D5489A">
        <w:t>e istanze suddette;</w:t>
      </w:r>
    </w:p>
    <w:p w:rsidR="00E80682" w:rsidRDefault="00E80682">
      <w:pPr>
        <w:pStyle w:val="Intestazione"/>
        <w:tabs>
          <w:tab w:val="clear" w:pos="4819"/>
          <w:tab w:val="clear" w:pos="9638"/>
        </w:tabs>
      </w:pPr>
    </w:p>
    <w:p w:rsidR="00DA44A9" w:rsidRDefault="0021284A">
      <w:pPr>
        <w:pStyle w:val="Intestazione"/>
        <w:tabs>
          <w:tab w:val="clear" w:pos="4819"/>
          <w:tab w:val="clear" w:pos="9638"/>
        </w:tabs>
      </w:pPr>
      <w:r>
        <w:t xml:space="preserve">    </w:t>
      </w:r>
      <w:r w:rsidR="00DA44A9">
        <w:t xml:space="preserve"> </w:t>
      </w:r>
      <w:r w:rsidR="0010324D">
        <w:t>CONSIDERATO</w:t>
      </w:r>
      <w:r w:rsidR="008F0BDA">
        <w:t xml:space="preserve"> il parere favorevole in data </w:t>
      </w:r>
      <w:r w:rsidR="00D5489A">
        <w:t>24</w:t>
      </w:r>
      <w:r w:rsidR="008F0BDA">
        <w:t xml:space="preserve"> gennaio 2013 espresso dalla Regione  Emilia-Romagna ai fini del riconoscimento </w:t>
      </w:r>
      <w:r w:rsidR="0069035D">
        <w:t>della suddetta</w:t>
      </w:r>
      <w:r w:rsidR="008F0BDA">
        <w:t xml:space="preserve"> Organizzazione di produttori </w:t>
      </w:r>
      <w:r w:rsidR="007B4B92">
        <w:t xml:space="preserve"> ai sensi del Reg. 104/2000</w:t>
      </w:r>
      <w:r w:rsidR="00A44505">
        <w:t>;</w:t>
      </w:r>
    </w:p>
    <w:p w:rsidR="00C462DE" w:rsidRDefault="00C462DE">
      <w:pPr>
        <w:pStyle w:val="Intestazione"/>
        <w:tabs>
          <w:tab w:val="clear" w:pos="4819"/>
          <w:tab w:val="clear" w:pos="9638"/>
        </w:tabs>
      </w:pPr>
    </w:p>
    <w:p w:rsidR="008808A9" w:rsidRDefault="00C462DE">
      <w:pPr>
        <w:pStyle w:val="Intestazione"/>
        <w:tabs>
          <w:tab w:val="clear" w:pos="4819"/>
          <w:tab w:val="clear" w:pos="9638"/>
        </w:tabs>
      </w:pPr>
      <w:r>
        <w:t xml:space="preserve">     </w:t>
      </w:r>
    </w:p>
    <w:p w:rsidR="00756721" w:rsidRDefault="00756721">
      <w:pPr>
        <w:pStyle w:val="Intestazione"/>
        <w:tabs>
          <w:tab w:val="clear" w:pos="4819"/>
          <w:tab w:val="clear" w:pos="9638"/>
        </w:tabs>
      </w:pPr>
    </w:p>
    <w:p w:rsidR="00756721" w:rsidRDefault="00756721">
      <w:pPr>
        <w:pStyle w:val="Intestazione"/>
        <w:tabs>
          <w:tab w:val="clear" w:pos="4819"/>
          <w:tab w:val="clear" w:pos="9638"/>
        </w:tabs>
      </w:pPr>
    </w:p>
    <w:p w:rsidR="00756721" w:rsidRDefault="00756721">
      <w:pPr>
        <w:pStyle w:val="Intestazione"/>
        <w:tabs>
          <w:tab w:val="clear" w:pos="4819"/>
          <w:tab w:val="clear" w:pos="9638"/>
        </w:tabs>
      </w:pPr>
    </w:p>
    <w:p w:rsidR="00756721" w:rsidRDefault="00756721">
      <w:pPr>
        <w:pStyle w:val="Intestazione"/>
        <w:tabs>
          <w:tab w:val="clear" w:pos="4819"/>
          <w:tab w:val="clear" w:pos="9638"/>
        </w:tabs>
      </w:pPr>
    </w:p>
    <w:p w:rsidR="00756721" w:rsidRDefault="00756721">
      <w:pPr>
        <w:pStyle w:val="Intestazione"/>
        <w:tabs>
          <w:tab w:val="clear" w:pos="4819"/>
          <w:tab w:val="clear" w:pos="9638"/>
        </w:tabs>
      </w:pPr>
    </w:p>
    <w:p w:rsidR="00756721" w:rsidRDefault="00756721">
      <w:pPr>
        <w:pStyle w:val="Intestazione"/>
        <w:tabs>
          <w:tab w:val="clear" w:pos="4819"/>
          <w:tab w:val="clear" w:pos="9638"/>
        </w:tabs>
      </w:pPr>
    </w:p>
    <w:p w:rsidR="00756721" w:rsidRDefault="00756721">
      <w:pPr>
        <w:pStyle w:val="Intestazione"/>
        <w:tabs>
          <w:tab w:val="clear" w:pos="4819"/>
          <w:tab w:val="clear" w:pos="9638"/>
        </w:tabs>
      </w:pPr>
    </w:p>
    <w:p w:rsidR="00756721" w:rsidRDefault="00756721">
      <w:pPr>
        <w:pStyle w:val="Intestazione"/>
        <w:tabs>
          <w:tab w:val="clear" w:pos="4819"/>
          <w:tab w:val="clear" w:pos="9638"/>
        </w:tabs>
      </w:pPr>
    </w:p>
    <w:p w:rsidR="003E6E0E" w:rsidRDefault="008808A9">
      <w:pPr>
        <w:pStyle w:val="Intestazione"/>
        <w:tabs>
          <w:tab w:val="clear" w:pos="4819"/>
          <w:tab w:val="clear" w:pos="9638"/>
        </w:tabs>
      </w:pPr>
      <w:r>
        <w:t xml:space="preserve">     </w:t>
      </w:r>
    </w:p>
    <w:p w:rsidR="00C462DE" w:rsidRDefault="00C462DE">
      <w:pPr>
        <w:pStyle w:val="Intestazione"/>
        <w:tabs>
          <w:tab w:val="clear" w:pos="4819"/>
          <w:tab w:val="clear" w:pos="9638"/>
        </w:tabs>
      </w:pPr>
      <w:r>
        <w:t xml:space="preserve">                                                                         DECRETA</w:t>
      </w:r>
    </w:p>
    <w:p w:rsidR="00C462DE" w:rsidRDefault="00C462DE">
      <w:pPr>
        <w:pStyle w:val="Intestazione"/>
        <w:tabs>
          <w:tab w:val="clear" w:pos="4819"/>
          <w:tab w:val="clear" w:pos="9638"/>
        </w:tabs>
      </w:pPr>
      <w:r>
        <w:t xml:space="preserve">    </w:t>
      </w:r>
    </w:p>
    <w:p w:rsidR="006824C4" w:rsidRDefault="00C462DE">
      <w:pPr>
        <w:pStyle w:val="Intestazione"/>
        <w:tabs>
          <w:tab w:val="clear" w:pos="4819"/>
          <w:tab w:val="clear" w:pos="9638"/>
        </w:tabs>
      </w:pPr>
      <w:r>
        <w:t xml:space="preserve">                                                                            ART.1</w:t>
      </w:r>
    </w:p>
    <w:p w:rsidR="006824C4" w:rsidRDefault="006824C4">
      <w:pPr>
        <w:pStyle w:val="Intestazione"/>
        <w:tabs>
          <w:tab w:val="clear" w:pos="4819"/>
          <w:tab w:val="clear" w:pos="9638"/>
        </w:tabs>
      </w:pPr>
    </w:p>
    <w:p w:rsidR="00A44505" w:rsidRDefault="006824C4" w:rsidP="003E3249">
      <w:pPr>
        <w:pStyle w:val="Intestazione"/>
        <w:tabs>
          <w:tab w:val="clear" w:pos="4819"/>
          <w:tab w:val="clear" w:pos="9638"/>
        </w:tabs>
      </w:pPr>
      <w:r>
        <w:t xml:space="preserve">     E’ </w:t>
      </w:r>
      <w:r w:rsidR="00274405">
        <w:t>riconosciuta,</w:t>
      </w:r>
      <w:r>
        <w:t xml:space="preserve"> ai fini del Regolamento (CE)  104/2000</w:t>
      </w:r>
      <w:r w:rsidR="0051304D">
        <w:t xml:space="preserve"> artt. 5 e 6,</w:t>
      </w:r>
      <w:r>
        <w:t xml:space="preserve"> e del Regolamento (CE) 2318/2001, nonché a tutti gli effetti eventuali conseguenti a norma di legge, l’Organizzazione di </w:t>
      </w:r>
      <w:r w:rsidR="00F276FA">
        <w:t>p</w:t>
      </w:r>
      <w:r>
        <w:t>roduttori della pesca  denominata  “</w:t>
      </w:r>
      <w:r w:rsidR="00A44505">
        <w:t xml:space="preserve">ORGANIZZAZIONE </w:t>
      </w:r>
      <w:proofErr w:type="spellStart"/>
      <w:r w:rsidR="00A44505">
        <w:t>DI</w:t>
      </w:r>
      <w:proofErr w:type="spellEnd"/>
      <w:r w:rsidR="00A44505">
        <w:t xml:space="preserve"> PRODUTTORI DELLA VONGOLA E DEI MOLLUSCHI </w:t>
      </w:r>
      <w:proofErr w:type="spellStart"/>
      <w:r w:rsidR="00A44505">
        <w:t>DI</w:t>
      </w:r>
      <w:proofErr w:type="spellEnd"/>
      <w:r w:rsidR="00A44505">
        <w:t xml:space="preserve"> RIMINI” </w:t>
      </w:r>
      <w:proofErr w:type="spellStart"/>
      <w:r w:rsidR="00A44505">
        <w:t>SOC</w:t>
      </w:r>
      <w:proofErr w:type="spellEnd"/>
      <w:r w:rsidR="00A44505">
        <w:t xml:space="preserve">. COOP. con sede a Rimini, in base al suddetto </w:t>
      </w:r>
    </w:p>
    <w:p w:rsidR="006D5093" w:rsidRDefault="00756721" w:rsidP="003E3249">
      <w:pPr>
        <w:pStyle w:val="Intestazione"/>
        <w:tabs>
          <w:tab w:val="clear" w:pos="4819"/>
          <w:tab w:val="clear" w:pos="9638"/>
        </w:tabs>
      </w:pPr>
      <w:r>
        <w:t>pa</w:t>
      </w:r>
      <w:r w:rsidR="00A44505">
        <w:t>r</w:t>
      </w:r>
      <w:r w:rsidR="006D5093">
        <w:t>ere favorevole dell</w:t>
      </w:r>
      <w:r w:rsidR="00663129">
        <w:t>a Regione Emilia-Rom</w:t>
      </w:r>
      <w:r w:rsidR="00A44505">
        <w:t>agna, per la specie di mollusco bivalve Vongola</w:t>
      </w:r>
      <w:r w:rsidR="00092704">
        <w:t xml:space="preserve"> “</w:t>
      </w:r>
      <w:proofErr w:type="spellStart"/>
      <w:r w:rsidR="00092704">
        <w:t>poverazza</w:t>
      </w:r>
      <w:proofErr w:type="spellEnd"/>
      <w:r w:rsidR="00092704">
        <w:t xml:space="preserve">” </w:t>
      </w:r>
      <w:r w:rsidR="00A44505">
        <w:t xml:space="preserve"> (</w:t>
      </w:r>
      <w:proofErr w:type="spellStart"/>
      <w:r w:rsidR="00A44505">
        <w:t>Venus</w:t>
      </w:r>
      <w:proofErr w:type="spellEnd"/>
      <w:r w:rsidR="00A44505">
        <w:t xml:space="preserve"> gallina o </w:t>
      </w:r>
      <w:proofErr w:type="spellStart"/>
      <w:r w:rsidR="00A44505">
        <w:t>Chamelea</w:t>
      </w:r>
      <w:proofErr w:type="spellEnd"/>
      <w:r w:rsidR="00A44505">
        <w:t xml:space="preserve"> gallina).</w:t>
      </w:r>
    </w:p>
    <w:p w:rsidR="006D5093" w:rsidRDefault="006D5093" w:rsidP="003E3249">
      <w:pPr>
        <w:pStyle w:val="Intestazione"/>
        <w:tabs>
          <w:tab w:val="clear" w:pos="4819"/>
          <w:tab w:val="clear" w:pos="9638"/>
        </w:tabs>
      </w:pPr>
    </w:p>
    <w:p w:rsidR="006D5093" w:rsidRDefault="006D5093" w:rsidP="003E3249">
      <w:pPr>
        <w:pStyle w:val="Intestazione"/>
        <w:tabs>
          <w:tab w:val="clear" w:pos="4819"/>
          <w:tab w:val="clear" w:pos="9638"/>
        </w:tabs>
      </w:pPr>
    </w:p>
    <w:p w:rsidR="00FB7799" w:rsidRDefault="00C462DE">
      <w:pPr>
        <w:pStyle w:val="Intestazione"/>
        <w:tabs>
          <w:tab w:val="clear" w:pos="4819"/>
          <w:tab w:val="clear" w:pos="9638"/>
        </w:tabs>
      </w:pPr>
      <w:r>
        <w:t xml:space="preserve">                                                     </w:t>
      </w:r>
    </w:p>
    <w:p w:rsidR="00FB7799" w:rsidRDefault="00FB7799">
      <w:pPr>
        <w:pStyle w:val="Intestazione"/>
        <w:tabs>
          <w:tab w:val="clear" w:pos="4819"/>
          <w:tab w:val="clear" w:pos="9638"/>
        </w:tabs>
      </w:pPr>
      <w:r>
        <w:t xml:space="preserve">     Il presente Decreto è pubblicato nella Gazzetta Ufficiale della Repubblica Italiana</w:t>
      </w:r>
      <w:r w:rsidR="00D35E4A">
        <w:t>.</w:t>
      </w:r>
    </w:p>
    <w:p w:rsidR="00FB7799" w:rsidRDefault="00FB7799">
      <w:pPr>
        <w:pStyle w:val="Intestazione"/>
        <w:tabs>
          <w:tab w:val="clear" w:pos="4819"/>
          <w:tab w:val="clear" w:pos="9638"/>
        </w:tabs>
      </w:pPr>
    </w:p>
    <w:p w:rsidR="00FB7799" w:rsidRDefault="00FB7799">
      <w:pPr>
        <w:pStyle w:val="Intestazione"/>
        <w:tabs>
          <w:tab w:val="clear" w:pos="4819"/>
          <w:tab w:val="clear" w:pos="9638"/>
        </w:tabs>
      </w:pPr>
    </w:p>
    <w:p w:rsidR="00FB7799" w:rsidRDefault="00FB7799">
      <w:pPr>
        <w:pStyle w:val="Intestazione"/>
        <w:tabs>
          <w:tab w:val="clear" w:pos="4819"/>
          <w:tab w:val="clear" w:pos="9638"/>
        </w:tabs>
      </w:pPr>
    </w:p>
    <w:p w:rsidR="00FB7799" w:rsidRDefault="00FB7799">
      <w:pPr>
        <w:pStyle w:val="Intestazione"/>
        <w:tabs>
          <w:tab w:val="clear" w:pos="4819"/>
          <w:tab w:val="clear" w:pos="9638"/>
        </w:tabs>
      </w:pPr>
      <w:r>
        <w:t xml:space="preserve">                                                                                                                        IL MINISTRO</w:t>
      </w:r>
    </w:p>
    <w:p w:rsidR="00C462DE" w:rsidRDefault="00FB7799">
      <w:pPr>
        <w:pStyle w:val="Intestazione"/>
        <w:tabs>
          <w:tab w:val="clear" w:pos="4819"/>
          <w:tab w:val="clear" w:pos="9638"/>
        </w:tabs>
      </w:pPr>
      <w:r>
        <w:t xml:space="preserve">                                                                                                                   </w:t>
      </w:r>
      <w:r w:rsidR="00A94C20">
        <w:t>F.to De Girolamo</w:t>
      </w:r>
      <w:r>
        <w:t xml:space="preserve">        </w:t>
      </w:r>
    </w:p>
    <w:p w:rsidR="0005512C" w:rsidRDefault="0005512C">
      <w:pPr>
        <w:pStyle w:val="Intestazione"/>
        <w:tabs>
          <w:tab w:val="clear" w:pos="4819"/>
          <w:tab w:val="clear" w:pos="9638"/>
        </w:tabs>
      </w:pPr>
    </w:p>
    <w:p w:rsidR="0005512C" w:rsidRDefault="0005512C">
      <w:pPr>
        <w:pStyle w:val="Intestazione"/>
        <w:tabs>
          <w:tab w:val="clear" w:pos="4819"/>
          <w:tab w:val="clear" w:pos="9638"/>
        </w:tabs>
      </w:pPr>
      <w:r>
        <w:t>Roma,</w:t>
      </w:r>
      <w:r w:rsidR="00A94C20">
        <w:t xml:space="preserve"> 12 giugno 2013</w:t>
      </w:r>
    </w:p>
    <w:sectPr w:rsidR="0005512C" w:rsidSect="008D2AF2">
      <w:headerReference w:type="default" r:id="rId7"/>
      <w:pgSz w:w="11906" w:h="16838" w:code="9"/>
      <w:pgMar w:top="5104" w:right="1134" w:bottom="1134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AB" w:rsidRDefault="00BB01AB">
      <w:r>
        <w:separator/>
      </w:r>
    </w:p>
  </w:endnote>
  <w:endnote w:type="continuationSeparator" w:id="0">
    <w:p w:rsidR="00BB01AB" w:rsidRDefault="00BB0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Andant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AB" w:rsidRDefault="00BB01AB">
      <w:r>
        <w:separator/>
      </w:r>
    </w:p>
  </w:footnote>
  <w:footnote w:type="continuationSeparator" w:id="0">
    <w:p w:rsidR="00BB01AB" w:rsidRDefault="00BB0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6D" w:rsidRDefault="003C1B6D">
    <w:pPr>
      <w:pStyle w:val="Intestazione"/>
      <w:tabs>
        <w:tab w:val="clear" w:pos="4819"/>
      </w:tabs>
      <w:ind w:right="-70"/>
      <w:jc w:val="center"/>
      <w:rPr>
        <w:rFonts w:ascii="ShelleyAndante BT" w:hAnsi="ShelleyAndante BT"/>
        <w:sz w:val="36"/>
      </w:rPr>
    </w:pPr>
    <w:r>
      <w:object w:dxaOrig="5834" w:dyaOrig="6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8.6pt" o:ole="" fillcolor="window">
          <v:imagedata r:id="rId1" o:title=""/>
        </v:shape>
        <o:OLEObject Type="Embed" ProgID="PBrush" ShapeID="_x0000_i1025" DrawAspect="Content" ObjectID="_1440230170" r:id="rId2"/>
      </w:object>
    </w:r>
  </w:p>
  <w:p w:rsidR="003C1B6D" w:rsidRPr="00607998" w:rsidRDefault="003C1B6D">
    <w:pPr>
      <w:pStyle w:val="Intestazione"/>
      <w:tabs>
        <w:tab w:val="clear" w:pos="4819"/>
      </w:tabs>
      <w:ind w:right="-70"/>
      <w:jc w:val="center"/>
      <w:rPr>
        <w:rFonts w:ascii="Palace Script MT" w:hAnsi="Palace Script MT"/>
        <w:iCs/>
        <w:sz w:val="84"/>
        <w:szCs w:val="84"/>
      </w:rPr>
    </w:pPr>
    <w:r>
      <w:rPr>
        <w:rFonts w:ascii="Palace Script MT" w:hAnsi="Palace Script MT"/>
        <w:iCs/>
        <w:sz w:val="84"/>
        <w:szCs w:val="84"/>
      </w:rPr>
      <w:t>Il Ministro</w:t>
    </w:r>
    <w:r w:rsidRPr="00607998">
      <w:rPr>
        <w:rFonts w:ascii="Palace Script MT" w:hAnsi="Palace Script MT"/>
        <w:iCs/>
        <w:sz w:val="84"/>
        <w:szCs w:val="84"/>
      </w:rPr>
      <w:t xml:space="preserve"> delle politiche agricole </w:t>
    </w:r>
  </w:p>
  <w:p w:rsidR="003C1B6D" w:rsidRPr="00607998" w:rsidRDefault="003C1B6D">
    <w:pPr>
      <w:pStyle w:val="Intestazione"/>
      <w:tabs>
        <w:tab w:val="clear" w:pos="4819"/>
      </w:tabs>
      <w:ind w:right="-70"/>
      <w:jc w:val="center"/>
      <w:rPr>
        <w:rFonts w:ascii="Palace Script MT" w:hAnsi="Palace Script MT"/>
        <w:iCs/>
        <w:sz w:val="84"/>
        <w:szCs w:val="84"/>
      </w:rPr>
    </w:pPr>
    <w:r w:rsidRPr="00607998">
      <w:rPr>
        <w:rFonts w:ascii="Palace Script MT" w:hAnsi="Palace Script MT"/>
        <w:iCs/>
        <w:sz w:val="84"/>
        <w:szCs w:val="84"/>
      </w:rPr>
      <w:t>alimentari e forestali</w:t>
    </w:r>
  </w:p>
  <w:p w:rsidR="003C1B6D" w:rsidRPr="00A341B8" w:rsidRDefault="00A341B8">
    <w:pPr>
      <w:pStyle w:val="Intestazione"/>
      <w:tabs>
        <w:tab w:val="clear" w:pos="4819"/>
      </w:tabs>
      <w:ind w:right="-71"/>
      <w:jc w:val="center"/>
      <w:rPr>
        <w:bCs/>
      </w:rPr>
    </w:pPr>
    <w:r w:rsidRPr="00A341B8">
      <w:rPr>
        <w:bCs/>
      </w:rPr>
      <w:t>DIPARTIMENTO DELLE POLITICHE COMPETITIVE, DELLA QUALITA’ AGROALIMENTARE E DELLA PESCA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numFmt w:val="none"/>
      <w:lvlText w:val=""/>
      <w:lvlJc w:val="left"/>
    </w:lvl>
    <w:lvl w:ilvl="1">
      <w:start w:val="1"/>
      <w:numFmt w:val="decimal"/>
      <w:pStyle w:val="Titolo2"/>
      <w:lvlText w:val=".%2"/>
      <w:legacy w:legacy="1" w:legacySpace="120" w:legacyIndent="567"/>
      <w:lvlJc w:val="left"/>
      <w:pPr>
        <w:ind w:left="1134" w:hanging="567"/>
      </w:pPr>
    </w:lvl>
    <w:lvl w:ilvl="2">
      <w:start w:val="1"/>
      <w:numFmt w:val="decimal"/>
      <w:pStyle w:val="Titolo3"/>
      <w:lvlText w:val=".%2.%3"/>
      <w:legacy w:legacy="1" w:legacySpace="120" w:legacyIndent="36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B5096C"/>
    <w:rsid w:val="00001CD0"/>
    <w:rsid w:val="000074FA"/>
    <w:rsid w:val="00037B8E"/>
    <w:rsid w:val="00052938"/>
    <w:rsid w:val="0005512C"/>
    <w:rsid w:val="000636FD"/>
    <w:rsid w:val="00092704"/>
    <w:rsid w:val="0009524F"/>
    <w:rsid w:val="000A2064"/>
    <w:rsid w:val="000A5C95"/>
    <w:rsid w:val="000B4B18"/>
    <w:rsid w:val="000D255C"/>
    <w:rsid w:val="000D2762"/>
    <w:rsid w:val="000D6928"/>
    <w:rsid w:val="000E1981"/>
    <w:rsid w:val="0010324D"/>
    <w:rsid w:val="001111EC"/>
    <w:rsid w:val="00144C99"/>
    <w:rsid w:val="00150317"/>
    <w:rsid w:val="00160C4A"/>
    <w:rsid w:val="00172DE6"/>
    <w:rsid w:val="001945A1"/>
    <w:rsid w:val="001D5165"/>
    <w:rsid w:val="001F62A0"/>
    <w:rsid w:val="00202EA1"/>
    <w:rsid w:val="0021284A"/>
    <w:rsid w:val="00213F37"/>
    <w:rsid w:val="00220251"/>
    <w:rsid w:val="002258F9"/>
    <w:rsid w:val="002570B6"/>
    <w:rsid w:val="002606BD"/>
    <w:rsid w:val="00266C17"/>
    <w:rsid w:val="00274405"/>
    <w:rsid w:val="0028435C"/>
    <w:rsid w:val="002A27CF"/>
    <w:rsid w:val="002B0B59"/>
    <w:rsid w:val="002E1F22"/>
    <w:rsid w:val="00325999"/>
    <w:rsid w:val="00337148"/>
    <w:rsid w:val="00352A0D"/>
    <w:rsid w:val="00353C4D"/>
    <w:rsid w:val="003A2206"/>
    <w:rsid w:val="003A5324"/>
    <w:rsid w:val="003C1B6D"/>
    <w:rsid w:val="003C2B65"/>
    <w:rsid w:val="003D4373"/>
    <w:rsid w:val="003E3249"/>
    <w:rsid w:val="003E42C8"/>
    <w:rsid w:val="003E6E0E"/>
    <w:rsid w:val="00465AF0"/>
    <w:rsid w:val="00470A0D"/>
    <w:rsid w:val="004A38D9"/>
    <w:rsid w:val="004B72F6"/>
    <w:rsid w:val="004C70F5"/>
    <w:rsid w:val="004D41A1"/>
    <w:rsid w:val="00507C51"/>
    <w:rsid w:val="0051304D"/>
    <w:rsid w:val="0055321A"/>
    <w:rsid w:val="00557E0C"/>
    <w:rsid w:val="005A459D"/>
    <w:rsid w:val="005D2395"/>
    <w:rsid w:val="00607998"/>
    <w:rsid w:val="00654EC6"/>
    <w:rsid w:val="00663129"/>
    <w:rsid w:val="00663C75"/>
    <w:rsid w:val="00672A5F"/>
    <w:rsid w:val="00672E44"/>
    <w:rsid w:val="00674EDF"/>
    <w:rsid w:val="006824C4"/>
    <w:rsid w:val="00684D55"/>
    <w:rsid w:val="006902A1"/>
    <w:rsid w:val="0069035D"/>
    <w:rsid w:val="00692A63"/>
    <w:rsid w:val="006956E8"/>
    <w:rsid w:val="00697A62"/>
    <w:rsid w:val="006A406F"/>
    <w:rsid w:val="006A470A"/>
    <w:rsid w:val="006D5093"/>
    <w:rsid w:val="006E0206"/>
    <w:rsid w:val="00707C96"/>
    <w:rsid w:val="00726693"/>
    <w:rsid w:val="007317CA"/>
    <w:rsid w:val="0073555A"/>
    <w:rsid w:val="00756721"/>
    <w:rsid w:val="00757C85"/>
    <w:rsid w:val="00776C04"/>
    <w:rsid w:val="007939D6"/>
    <w:rsid w:val="00796B19"/>
    <w:rsid w:val="007A4019"/>
    <w:rsid w:val="007A46BF"/>
    <w:rsid w:val="007A7284"/>
    <w:rsid w:val="007B4B92"/>
    <w:rsid w:val="007E538B"/>
    <w:rsid w:val="008808A9"/>
    <w:rsid w:val="00895942"/>
    <w:rsid w:val="008A0CE4"/>
    <w:rsid w:val="008A0E00"/>
    <w:rsid w:val="008A1BCC"/>
    <w:rsid w:val="008A3DC4"/>
    <w:rsid w:val="008D2AF2"/>
    <w:rsid w:val="008F0BDA"/>
    <w:rsid w:val="008F5925"/>
    <w:rsid w:val="00921E95"/>
    <w:rsid w:val="00942756"/>
    <w:rsid w:val="0098069D"/>
    <w:rsid w:val="00981CE3"/>
    <w:rsid w:val="00991F6C"/>
    <w:rsid w:val="009A537D"/>
    <w:rsid w:val="009B27AB"/>
    <w:rsid w:val="00A01CEB"/>
    <w:rsid w:val="00A341B8"/>
    <w:rsid w:val="00A44505"/>
    <w:rsid w:val="00A6688F"/>
    <w:rsid w:val="00A94C20"/>
    <w:rsid w:val="00AA54BE"/>
    <w:rsid w:val="00AC2CCB"/>
    <w:rsid w:val="00AE1731"/>
    <w:rsid w:val="00AF0499"/>
    <w:rsid w:val="00B27D02"/>
    <w:rsid w:val="00B462DA"/>
    <w:rsid w:val="00B5096C"/>
    <w:rsid w:val="00B538B2"/>
    <w:rsid w:val="00B57E55"/>
    <w:rsid w:val="00B655B9"/>
    <w:rsid w:val="00B9025F"/>
    <w:rsid w:val="00BA0E99"/>
    <w:rsid w:val="00BB01AB"/>
    <w:rsid w:val="00BD0509"/>
    <w:rsid w:val="00C02F8A"/>
    <w:rsid w:val="00C26CE1"/>
    <w:rsid w:val="00C462DE"/>
    <w:rsid w:val="00CB66B7"/>
    <w:rsid w:val="00CE0630"/>
    <w:rsid w:val="00CE206E"/>
    <w:rsid w:val="00CF5F08"/>
    <w:rsid w:val="00D2482E"/>
    <w:rsid w:val="00D35E4A"/>
    <w:rsid w:val="00D5489A"/>
    <w:rsid w:val="00D8374E"/>
    <w:rsid w:val="00DA253A"/>
    <w:rsid w:val="00DA44A9"/>
    <w:rsid w:val="00DC74CA"/>
    <w:rsid w:val="00DD75DA"/>
    <w:rsid w:val="00DF2B42"/>
    <w:rsid w:val="00E07666"/>
    <w:rsid w:val="00E80682"/>
    <w:rsid w:val="00E85520"/>
    <w:rsid w:val="00ED306C"/>
    <w:rsid w:val="00F14874"/>
    <w:rsid w:val="00F2016B"/>
    <w:rsid w:val="00F276FA"/>
    <w:rsid w:val="00F51E24"/>
    <w:rsid w:val="00F54641"/>
    <w:rsid w:val="00F630F0"/>
    <w:rsid w:val="00F8487D"/>
    <w:rsid w:val="00FA3813"/>
    <w:rsid w:val="00FA69A2"/>
    <w:rsid w:val="00FB7799"/>
    <w:rsid w:val="00FB7921"/>
    <w:rsid w:val="00FC2A39"/>
    <w:rsid w:val="00FE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2AF2"/>
    <w:pPr>
      <w:jc w:val="both"/>
    </w:pPr>
    <w:rPr>
      <w:sz w:val="24"/>
    </w:rPr>
  </w:style>
  <w:style w:type="paragraph" w:styleId="Titolo2">
    <w:name w:val="heading 2"/>
    <w:basedOn w:val="Normale"/>
    <w:next w:val="Normale"/>
    <w:qFormat/>
    <w:rsid w:val="008D2AF2"/>
    <w:pPr>
      <w:keepNext/>
      <w:numPr>
        <w:ilvl w:val="1"/>
        <w:numId w:val="1"/>
      </w:numPr>
      <w:tabs>
        <w:tab w:val="num" w:pos="1134"/>
      </w:tabs>
      <w:spacing w:before="240" w:after="120"/>
      <w:outlineLvl w:val="1"/>
    </w:pPr>
    <w:rPr>
      <w:b/>
      <w:smallCaps/>
    </w:rPr>
  </w:style>
  <w:style w:type="paragraph" w:styleId="Titolo3">
    <w:name w:val="heading 3"/>
    <w:basedOn w:val="Titolo2"/>
    <w:next w:val="Normale"/>
    <w:qFormat/>
    <w:rsid w:val="008D2AF2"/>
    <w:pPr>
      <w:numPr>
        <w:ilvl w:val="2"/>
      </w:numPr>
      <w:tabs>
        <w:tab w:val="num" w:pos="1287"/>
      </w:tabs>
      <w:ind w:left="567" w:firstLine="0"/>
      <w:outlineLvl w:val="2"/>
    </w:pPr>
    <w:rPr>
      <w:smallCaps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3">
    <w:name w:val="testo3"/>
    <w:basedOn w:val="Normale"/>
    <w:rsid w:val="008D2AF2"/>
    <w:pPr>
      <w:spacing w:after="120"/>
      <w:ind w:left="1843"/>
    </w:pPr>
    <w:rPr>
      <w:sz w:val="22"/>
    </w:rPr>
  </w:style>
  <w:style w:type="paragraph" w:styleId="Intestazione">
    <w:name w:val="header"/>
    <w:basedOn w:val="Normale"/>
    <w:rsid w:val="008D2A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D2AF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tiA\Desktop\nuova%20carta%20ministero\Ministe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Ministero</Template>
  <TotalTime>87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Regolamento (CE)  104/2000 del Consiglio dell’Unione Europea del 17 dicembre 1999, relativo all’organizzazione comune dei mercati nel settore dei prodotti della pesca e dell’acquacoltura, in particolare gli articoli 5 e 6 relativi alle cond</vt:lpstr>
    </vt:vector>
  </TitlesOfParts>
  <Company>Finsiel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Regolamento (CE)  104/2000 del Consiglio dell’Unione Europea del 17 dicembre 1999, relativo all’organizzazione comune dei mercati nel settore dei prodotti della pesca e dell’acquacoltura, in particolare gli articoli 5 e 6 relativi alle cond</dc:title>
  <dc:creator>mipaf</dc:creator>
  <cp:lastModifiedBy>alessandra.rosati</cp:lastModifiedBy>
  <cp:revision>12</cp:revision>
  <cp:lastPrinted>2012-06-12T09:05:00Z</cp:lastPrinted>
  <dcterms:created xsi:type="dcterms:W3CDTF">2013-02-15T12:03:00Z</dcterms:created>
  <dcterms:modified xsi:type="dcterms:W3CDTF">2013-09-09T09:10:00Z</dcterms:modified>
</cp:coreProperties>
</file>