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FD" w:rsidRPr="002B4014" w:rsidRDefault="00A534FD" w:rsidP="00A534FD">
      <w:pPr>
        <w:spacing w:after="120"/>
        <w:rPr>
          <w:b/>
          <w:snapToGrid w:val="0"/>
          <w:sz w:val="26"/>
          <w:szCs w:val="26"/>
          <w:u w:val="single"/>
        </w:rPr>
      </w:pPr>
      <w:r w:rsidRPr="002B4014">
        <w:rPr>
          <w:b/>
          <w:snapToGrid w:val="0"/>
          <w:sz w:val="26"/>
          <w:szCs w:val="26"/>
          <w:u w:val="single"/>
        </w:rPr>
        <w:t>Document 7B – Criteria used for evaluation of economic and financial capacity</w:t>
      </w:r>
    </w:p>
    <w:p w:rsidR="00A534FD" w:rsidRDefault="00A534FD" w:rsidP="00A534FD">
      <w:pPr>
        <w:spacing w:after="120"/>
        <w:rPr>
          <w:snapToGrid w:val="0"/>
          <w:szCs w:val="24"/>
        </w:rPr>
      </w:pPr>
    </w:p>
    <w:p w:rsidR="00A534FD" w:rsidRPr="00A534FD" w:rsidRDefault="00A534FD" w:rsidP="00A534FD">
      <w:pPr>
        <w:spacing w:after="120"/>
        <w:rPr>
          <w:snapToGrid w:val="0"/>
          <w:szCs w:val="24"/>
        </w:rPr>
      </w:pPr>
      <w:proofErr w:type="gramStart"/>
      <w:r w:rsidRPr="00A534FD">
        <w:rPr>
          <w:snapToGrid w:val="0"/>
          <w:szCs w:val="24"/>
        </w:rPr>
        <w:t>On the basis of</w:t>
      </w:r>
      <w:proofErr w:type="gramEnd"/>
      <w:r w:rsidRPr="00A534FD">
        <w:rPr>
          <w:snapToGrid w:val="0"/>
          <w:szCs w:val="24"/>
        </w:rPr>
        <w:t xml:space="preserve"> the data from the 'Simplified Presentation</w:t>
      </w:r>
      <w:r w:rsidR="00277D18">
        <w:rPr>
          <w:snapToGrid w:val="0"/>
          <w:szCs w:val="24"/>
        </w:rPr>
        <w:t xml:space="preserve"> viability-checks</w:t>
      </w:r>
      <w:r w:rsidRPr="00A534FD">
        <w:rPr>
          <w:snapToGrid w:val="0"/>
          <w:szCs w:val="24"/>
        </w:rPr>
        <w:t xml:space="preserve">' form </w:t>
      </w:r>
      <w:r>
        <w:rPr>
          <w:snapToGrid w:val="0"/>
          <w:szCs w:val="24"/>
        </w:rPr>
        <w:t>(Document 7A)</w:t>
      </w:r>
      <w:r w:rsidRPr="00A534FD">
        <w:rPr>
          <w:snapToGrid w:val="0"/>
          <w:szCs w:val="24"/>
        </w:rPr>
        <w:t>, a number of values and ratios will be calculated in order to evaluate the economic and financial</w:t>
      </w:r>
      <w:r w:rsidR="000071D5">
        <w:rPr>
          <w:snapToGrid w:val="0"/>
          <w:szCs w:val="24"/>
        </w:rPr>
        <w:t xml:space="preserve"> capacity of the applicant laboratories</w:t>
      </w:r>
      <w:r w:rsidRPr="00A534FD">
        <w:rPr>
          <w:snapToGrid w:val="0"/>
          <w:szCs w:val="24"/>
        </w:rPr>
        <w:t>.</w:t>
      </w:r>
    </w:p>
    <w:p w:rsidR="00A534FD" w:rsidRPr="00A534FD" w:rsidRDefault="00A534FD" w:rsidP="00A534FD">
      <w:pPr>
        <w:spacing w:after="120"/>
        <w:jc w:val="left"/>
        <w:rPr>
          <w:snapToGrid w:val="0"/>
          <w:szCs w:val="24"/>
        </w:rPr>
      </w:pPr>
      <w:r w:rsidRPr="00A534FD">
        <w:rPr>
          <w:snapToGrid w:val="0"/>
          <w:szCs w:val="24"/>
        </w:rPr>
        <w:t xml:space="preserve">The following values </w:t>
      </w:r>
      <w:proofErr w:type="gramStart"/>
      <w:r w:rsidRPr="00A534FD">
        <w:rPr>
          <w:snapToGrid w:val="0"/>
          <w:szCs w:val="24"/>
        </w:rPr>
        <w:t xml:space="preserve">will be </w:t>
      </w:r>
      <w:r w:rsidRPr="00D152BA">
        <w:rPr>
          <w:snapToGrid w:val="0"/>
          <w:szCs w:val="24"/>
        </w:rPr>
        <w:t>calculated</w:t>
      </w:r>
      <w:proofErr w:type="gramEnd"/>
      <w:r w:rsidRPr="00A534FD">
        <w:rPr>
          <w:snapToGrid w:val="0"/>
          <w:szCs w:val="24"/>
        </w:rPr>
        <w:t>:</w:t>
      </w:r>
    </w:p>
    <w:tbl>
      <w:tblPr>
        <w:tblW w:w="8743" w:type="dxa"/>
        <w:tblInd w:w="250" w:type="dxa"/>
        <w:tblLook w:val="0000" w:firstRow="0" w:lastRow="0" w:firstColumn="0" w:lastColumn="0" w:noHBand="0" w:noVBand="0"/>
      </w:tblPr>
      <w:tblGrid>
        <w:gridCol w:w="2583"/>
        <w:gridCol w:w="3800"/>
        <w:gridCol w:w="2360"/>
      </w:tblGrid>
      <w:tr w:rsidR="00A534FD" w:rsidRPr="00A534FD" w:rsidTr="003B1E05">
        <w:trPr>
          <w:trHeight w:val="588"/>
        </w:trPr>
        <w:tc>
          <w:tcPr>
            <w:tcW w:w="2583" w:type="dxa"/>
            <w:tcBorders>
              <w:top w:val="single" w:sz="8" w:space="0" w:color="auto"/>
              <w:left w:val="single" w:sz="8" w:space="0" w:color="auto"/>
              <w:bottom w:val="single" w:sz="8" w:space="0" w:color="auto"/>
              <w:right w:val="dotted" w:sz="4" w:space="0" w:color="auto"/>
            </w:tcBorders>
            <w:shd w:val="clear" w:color="auto" w:fill="FFCC00"/>
            <w:noWrap/>
            <w:vAlign w:val="bottom"/>
          </w:tcPr>
          <w:p w:rsidR="00A534FD" w:rsidRPr="00A534FD" w:rsidRDefault="00A534FD" w:rsidP="00A534FD">
            <w:pPr>
              <w:spacing w:after="0"/>
              <w:jc w:val="center"/>
              <w:rPr>
                <w:b/>
                <w:bCs/>
                <w:szCs w:val="24"/>
                <w:lang w:eastAsia="en-GB"/>
              </w:rPr>
            </w:pPr>
            <w:r w:rsidRPr="00A534FD">
              <w:rPr>
                <w:b/>
                <w:bCs/>
                <w:szCs w:val="24"/>
                <w:lang w:eastAsia="en-GB"/>
              </w:rPr>
              <w:t>Value</w:t>
            </w:r>
          </w:p>
        </w:tc>
        <w:tc>
          <w:tcPr>
            <w:tcW w:w="3800" w:type="dxa"/>
            <w:tcBorders>
              <w:top w:val="single" w:sz="8" w:space="0" w:color="auto"/>
              <w:left w:val="nil"/>
              <w:bottom w:val="single" w:sz="8" w:space="0" w:color="auto"/>
              <w:right w:val="dotted" w:sz="4" w:space="0" w:color="auto"/>
            </w:tcBorders>
            <w:shd w:val="clear" w:color="auto" w:fill="FFCC00"/>
            <w:vAlign w:val="bottom"/>
          </w:tcPr>
          <w:p w:rsidR="00A534FD" w:rsidRPr="00A534FD" w:rsidRDefault="00A534FD" w:rsidP="00A534FD">
            <w:pPr>
              <w:spacing w:after="0"/>
              <w:jc w:val="center"/>
              <w:rPr>
                <w:b/>
                <w:bCs/>
                <w:szCs w:val="24"/>
                <w:lang w:eastAsia="en-GB"/>
              </w:rPr>
            </w:pPr>
            <w:r w:rsidRPr="00A534FD">
              <w:rPr>
                <w:b/>
                <w:bCs/>
                <w:szCs w:val="24"/>
                <w:lang w:eastAsia="en-GB"/>
              </w:rPr>
              <w:t>Formula/source</w:t>
            </w:r>
          </w:p>
        </w:tc>
        <w:tc>
          <w:tcPr>
            <w:tcW w:w="2360" w:type="dxa"/>
            <w:tcBorders>
              <w:top w:val="single" w:sz="8" w:space="0" w:color="auto"/>
              <w:left w:val="nil"/>
              <w:bottom w:val="single" w:sz="8" w:space="0" w:color="auto"/>
              <w:right w:val="single" w:sz="8" w:space="0" w:color="auto"/>
            </w:tcBorders>
            <w:shd w:val="clear" w:color="auto" w:fill="FFCC00"/>
            <w:vAlign w:val="bottom"/>
          </w:tcPr>
          <w:p w:rsidR="00A534FD" w:rsidRPr="00A534FD" w:rsidRDefault="00A534FD" w:rsidP="00A534FD">
            <w:pPr>
              <w:spacing w:after="0"/>
              <w:jc w:val="center"/>
              <w:rPr>
                <w:b/>
                <w:bCs/>
                <w:szCs w:val="24"/>
                <w:lang w:eastAsia="en-GB"/>
              </w:rPr>
            </w:pPr>
            <w:r w:rsidRPr="00A534FD">
              <w:rPr>
                <w:b/>
                <w:bCs/>
                <w:szCs w:val="24"/>
                <w:lang w:eastAsia="en-GB"/>
              </w:rPr>
              <w:t>Unfavourable if:</w:t>
            </w:r>
          </w:p>
        </w:tc>
      </w:tr>
      <w:tr w:rsidR="00A534FD" w:rsidRPr="00A534FD" w:rsidTr="003B1E05">
        <w:trPr>
          <w:trHeight w:val="600"/>
        </w:trPr>
        <w:tc>
          <w:tcPr>
            <w:tcW w:w="2583" w:type="dxa"/>
            <w:tcBorders>
              <w:top w:val="nil"/>
              <w:left w:val="single" w:sz="8" w:space="0" w:color="auto"/>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own funds</w:t>
            </w:r>
          </w:p>
        </w:tc>
        <w:tc>
          <w:tcPr>
            <w:tcW w:w="3800" w:type="dxa"/>
            <w:tcBorders>
              <w:top w:val="nil"/>
              <w:left w:val="nil"/>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from the balance sheet</w:t>
            </w:r>
          </w:p>
        </w:tc>
        <w:tc>
          <w:tcPr>
            <w:tcW w:w="2360" w:type="dxa"/>
            <w:tcBorders>
              <w:top w:val="nil"/>
              <w:left w:val="nil"/>
              <w:bottom w:val="dotted" w:sz="4" w:space="0" w:color="auto"/>
              <w:right w:val="single" w:sz="8"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negative</w:t>
            </w:r>
          </w:p>
        </w:tc>
      </w:tr>
      <w:tr w:rsidR="00A534FD" w:rsidRPr="00A534FD" w:rsidTr="003B1E05">
        <w:trPr>
          <w:trHeight w:val="585"/>
        </w:trPr>
        <w:tc>
          <w:tcPr>
            <w:tcW w:w="2583" w:type="dxa"/>
            <w:tcBorders>
              <w:top w:val="nil"/>
              <w:left w:val="single" w:sz="8" w:space="0" w:color="auto"/>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p>
        </w:tc>
        <w:tc>
          <w:tcPr>
            <w:tcW w:w="3800" w:type="dxa"/>
            <w:tcBorders>
              <w:top w:val="nil"/>
              <w:left w:val="nil"/>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own funds - paid-up capital</w:t>
            </w:r>
          </w:p>
        </w:tc>
        <w:tc>
          <w:tcPr>
            <w:tcW w:w="2360" w:type="dxa"/>
            <w:tcBorders>
              <w:top w:val="nil"/>
              <w:left w:val="nil"/>
              <w:bottom w:val="dotted" w:sz="4" w:space="0" w:color="auto"/>
              <w:right w:val="single" w:sz="8"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negative</w:t>
            </w:r>
          </w:p>
        </w:tc>
      </w:tr>
      <w:tr w:rsidR="00A534FD" w:rsidRPr="00A534FD" w:rsidTr="003B1E05">
        <w:trPr>
          <w:trHeight w:val="585"/>
        </w:trPr>
        <w:tc>
          <w:tcPr>
            <w:tcW w:w="2583" w:type="dxa"/>
            <w:tcBorders>
              <w:top w:val="nil"/>
              <w:left w:val="single" w:sz="8" w:space="0" w:color="auto"/>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working capital</w:t>
            </w:r>
          </w:p>
        </w:tc>
        <w:tc>
          <w:tcPr>
            <w:tcW w:w="3800" w:type="dxa"/>
            <w:tcBorders>
              <w:top w:val="nil"/>
              <w:left w:val="nil"/>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permanent capital -</w:t>
            </w:r>
            <w:bookmarkStart w:id="0" w:name="_GoBack"/>
            <w:bookmarkEnd w:id="0"/>
            <w:r w:rsidRPr="00A534FD">
              <w:rPr>
                <w:szCs w:val="24"/>
                <w:lang w:eastAsia="en-GB"/>
              </w:rPr>
              <w:t xml:space="preserve"> fixed assets</w:t>
            </w:r>
          </w:p>
        </w:tc>
        <w:tc>
          <w:tcPr>
            <w:tcW w:w="2360" w:type="dxa"/>
            <w:tcBorders>
              <w:top w:val="nil"/>
              <w:left w:val="nil"/>
              <w:bottom w:val="dotted" w:sz="4" w:space="0" w:color="auto"/>
              <w:right w:val="single" w:sz="8"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negative</w:t>
            </w:r>
          </w:p>
        </w:tc>
      </w:tr>
      <w:tr w:rsidR="00A534FD" w:rsidRPr="00A534FD" w:rsidTr="003B1E05">
        <w:trPr>
          <w:trHeight w:val="615"/>
        </w:trPr>
        <w:tc>
          <w:tcPr>
            <w:tcW w:w="2583" w:type="dxa"/>
            <w:tcBorders>
              <w:top w:val="nil"/>
              <w:left w:val="single" w:sz="8" w:space="0" w:color="auto"/>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gross operating surplus</w:t>
            </w:r>
          </w:p>
        </w:tc>
        <w:tc>
          <w:tcPr>
            <w:tcW w:w="3800" w:type="dxa"/>
            <w:tcBorders>
              <w:top w:val="nil"/>
              <w:left w:val="nil"/>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from the P&amp;L accounts</w:t>
            </w:r>
          </w:p>
        </w:tc>
        <w:tc>
          <w:tcPr>
            <w:tcW w:w="2360" w:type="dxa"/>
            <w:tcBorders>
              <w:top w:val="nil"/>
              <w:left w:val="nil"/>
              <w:bottom w:val="dotted" w:sz="4" w:space="0" w:color="auto"/>
              <w:right w:val="single" w:sz="8"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negative</w:t>
            </w:r>
          </w:p>
        </w:tc>
      </w:tr>
      <w:tr w:rsidR="00A534FD" w:rsidRPr="00A534FD" w:rsidTr="003B1E05">
        <w:trPr>
          <w:trHeight w:val="600"/>
        </w:trPr>
        <w:tc>
          <w:tcPr>
            <w:tcW w:w="2583" w:type="dxa"/>
            <w:tcBorders>
              <w:top w:val="nil"/>
              <w:left w:val="single" w:sz="8" w:space="0" w:color="auto"/>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net result</w:t>
            </w:r>
          </w:p>
        </w:tc>
        <w:tc>
          <w:tcPr>
            <w:tcW w:w="3800" w:type="dxa"/>
            <w:tcBorders>
              <w:top w:val="nil"/>
              <w:left w:val="nil"/>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from the P&amp;L accounts</w:t>
            </w:r>
          </w:p>
        </w:tc>
        <w:tc>
          <w:tcPr>
            <w:tcW w:w="2360" w:type="dxa"/>
            <w:tcBorders>
              <w:top w:val="nil"/>
              <w:left w:val="nil"/>
              <w:bottom w:val="dotted" w:sz="4" w:space="0" w:color="auto"/>
              <w:right w:val="single" w:sz="8"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negative</w:t>
            </w:r>
          </w:p>
        </w:tc>
      </w:tr>
      <w:tr w:rsidR="00A534FD" w:rsidRPr="00A534FD" w:rsidTr="003B1E05">
        <w:trPr>
          <w:trHeight w:val="868"/>
        </w:trPr>
        <w:tc>
          <w:tcPr>
            <w:tcW w:w="2583" w:type="dxa"/>
            <w:tcBorders>
              <w:top w:val="nil"/>
              <w:left w:val="single" w:sz="8" w:space="0" w:color="auto"/>
              <w:bottom w:val="single" w:sz="8"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self-financing capacity (SFC)</w:t>
            </w:r>
          </w:p>
        </w:tc>
        <w:tc>
          <w:tcPr>
            <w:tcW w:w="3800" w:type="dxa"/>
            <w:tcBorders>
              <w:top w:val="nil"/>
              <w:left w:val="nil"/>
              <w:bottom w:val="single" w:sz="8"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net result after tax + amortization – capitalized production</w:t>
            </w:r>
          </w:p>
        </w:tc>
        <w:tc>
          <w:tcPr>
            <w:tcW w:w="2360" w:type="dxa"/>
            <w:tcBorders>
              <w:top w:val="nil"/>
              <w:left w:val="nil"/>
              <w:bottom w:val="single" w:sz="8" w:space="0" w:color="auto"/>
              <w:right w:val="single" w:sz="8"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negative</w:t>
            </w:r>
          </w:p>
        </w:tc>
      </w:tr>
    </w:tbl>
    <w:p w:rsidR="00A534FD" w:rsidRPr="00A534FD" w:rsidRDefault="00A534FD" w:rsidP="00A534FD">
      <w:pPr>
        <w:spacing w:after="120"/>
        <w:jc w:val="left"/>
        <w:rPr>
          <w:snapToGrid w:val="0"/>
          <w:szCs w:val="24"/>
        </w:rPr>
      </w:pPr>
      <w:r w:rsidRPr="00A534FD">
        <w:rPr>
          <w:snapToGrid w:val="0"/>
          <w:vanish/>
          <w:szCs w:val="24"/>
        </w:rPr>
        <w:cr/>
      </w:r>
    </w:p>
    <w:p w:rsidR="00A534FD" w:rsidRPr="00A534FD" w:rsidRDefault="00A534FD" w:rsidP="00A534FD">
      <w:pPr>
        <w:keepNext/>
        <w:spacing w:after="120"/>
        <w:jc w:val="left"/>
        <w:rPr>
          <w:snapToGrid w:val="0"/>
          <w:szCs w:val="24"/>
        </w:rPr>
      </w:pPr>
      <w:r w:rsidRPr="00A534FD">
        <w:rPr>
          <w:snapToGrid w:val="0"/>
          <w:szCs w:val="24"/>
        </w:rPr>
        <w:t>Following ratios are calculated:</w:t>
      </w:r>
    </w:p>
    <w:tbl>
      <w:tblPr>
        <w:tblW w:w="9087" w:type="dxa"/>
        <w:tblInd w:w="93" w:type="dxa"/>
        <w:tblLook w:val="0000" w:firstRow="0" w:lastRow="0" w:firstColumn="0" w:lastColumn="0" w:noHBand="0" w:noVBand="0"/>
      </w:tblPr>
      <w:tblGrid>
        <w:gridCol w:w="1740"/>
        <w:gridCol w:w="2386"/>
        <w:gridCol w:w="1701"/>
        <w:gridCol w:w="1559"/>
        <w:gridCol w:w="1701"/>
      </w:tblGrid>
      <w:tr w:rsidR="00A534FD" w:rsidRPr="00A534FD" w:rsidTr="003B1E05">
        <w:trPr>
          <w:trHeight w:val="615"/>
        </w:trPr>
        <w:tc>
          <w:tcPr>
            <w:tcW w:w="1740" w:type="dxa"/>
            <w:tcBorders>
              <w:top w:val="single" w:sz="8" w:space="0" w:color="auto"/>
              <w:left w:val="dotted" w:sz="4" w:space="0" w:color="auto"/>
              <w:bottom w:val="single" w:sz="8" w:space="0" w:color="auto"/>
              <w:right w:val="nil"/>
            </w:tcBorders>
            <w:shd w:val="clear" w:color="auto" w:fill="FFCC00"/>
            <w:noWrap/>
            <w:vAlign w:val="bottom"/>
          </w:tcPr>
          <w:p w:rsidR="00A534FD" w:rsidRPr="00A534FD" w:rsidRDefault="00A534FD" w:rsidP="00A534FD">
            <w:pPr>
              <w:keepNext/>
              <w:spacing w:after="0"/>
              <w:jc w:val="center"/>
              <w:rPr>
                <w:b/>
                <w:bCs/>
                <w:szCs w:val="24"/>
                <w:lang w:eastAsia="en-GB"/>
              </w:rPr>
            </w:pPr>
            <w:r w:rsidRPr="00A534FD">
              <w:rPr>
                <w:b/>
                <w:bCs/>
                <w:szCs w:val="24"/>
                <w:lang w:eastAsia="en-GB"/>
              </w:rPr>
              <w:t>Ratio</w:t>
            </w:r>
          </w:p>
        </w:tc>
        <w:tc>
          <w:tcPr>
            <w:tcW w:w="2386" w:type="dxa"/>
            <w:tcBorders>
              <w:top w:val="single" w:sz="8" w:space="0" w:color="auto"/>
              <w:left w:val="nil"/>
              <w:bottom w:val="single" w:sz="8" w:space="0" w:color="auto"/>
              <w:right w:val="dotted" w:sz="4" w:space="0" w:color="auto"/>
            </w:tcBorders>
            <w:shd w:val="clear" w:color="auto" w:fill="FFCC00"/>
            <w:vAlign w:val="bottom"/>
          </w:tcPr>
          <w:p w:rsidR="00A534FD" w:rsidRPr="00A534FD" w:rsidRDefault="00A534FD" w:rsidP="00A534FD">
            <w:pPr>
              <w:keepNext/>
              <w:spacing w:after="0"/>
              <w:jc w:val="center"/>
              <w:rPr>
                <w:b/>
                <w:bCs/>
                <w:szCs w:val="24"/>
                <w:lang w:eastAsia="en-GB"/>
              </w:rPr>
            </w:pPr>
            <w:r w:rsidRPr="00A534FD">
              <w:rPr>
                <w:b/>
                <w:bCs/>
                <w:szCs w:val="24"/>
                <w:lang w:eastAsia="en-GB"/>
              </w:rPr>
              <w:t>Formula</w:t>
            </w:r>
          </w:p>
        </w:tc>
        <w:tc>
          <w:tcPr>
            <w:tcW w:w="1701" w:type="dxa"/>
            <w:tcBorders>
              <w:top w:val="single" w:sz="8" w:space="0" w:color="auto"/>
              <w:left w:val="nil"/>
              <w:bottom w:val="single" w:sz="8" w:space="0" w:color="auto"/>
              <w:right w:val="dotted" w:sz="4" w:space="0" w:color="auto"/>
            </w:tcBorders>
            <w:shd w:val="clear" w:color="auto" w:fill="FFCC00"/>
            <w:vAlign w:val="bottom"/>
          </w:tcPr>
          <w:p w:rsidR="00A534FD" w:rsidRPr="00A534FD" w:rsidRDefault="00A534FD" w:rsidP="00A534FD">
            <w:pPr>
              <w:keepNext/>
              <w:spacing w:after="0"/>
              <w:jc w:val="center"/>
              <w:rPr>
                <w:b/>
                <w:bCs/>
                <w:szCs w:val="24"/>
                <w:lang w:eastAsia="en-GB"/>
              </w:rPr>
            </w:pPr>
            <w:r w:rsidRPr="00A534FD">
              <w:rPr>
                <w:b/>
                <w:bCs/>
                <w:szCs w:val="24"/>
                <w:lang w:eastAsia="en-GB"/>
              </w:rPr>
              <w:t>Unfavourable if</w:t>
            </w:r>
          </w:p>
        </w:tc>
        <w:tc>
          <w:tcPr>
            <w:tcW w:w="1559" w:type="dxa"/>
            <w:tcBorders>
              <w:top w:val="single" w:sz="8" w:space="0" w:color="auto"/>
              <w:left w:val="nil"/>
              <w:bottom w:val="single" w:sz="8" w:space="0" w:color="auto"/>
              <w:right w:val="nil"/>
            </w:tcBorders>
            <w:shd w:val="clear" w:color="auto" w:fill="FFCC00"/>
            <w:vAlign w:val="bottom"/>
          </w:tcPr>
          <w:p w:rsidR="00A534FD" w:rsidRPr="00A534FD" w:rsidRDefault="00A534FD" w:rsidP="00A534FD">
            <w:pPr>
              <w:keepNext/>
              <w:spacing w:after="0"/>
              <w:jc w:val="center"/>
              <w:rPr>
                <w:b/>
                <w:bCs/>
                <w:szCs w:val="24"/>
                <w:lang w:eastAsia="en-GB"/>
              </w:rPr>
            </w:pPr>
            <w:r w:rsidRPr="00A534FD">
              <w:rPr>
                <w:b/>
                <w:bCs/>
                <w:szCs w:val="24"/>
                <w:lang w:eastAsia="en-GB"/>
              </w:rPr>
              <w:t>Average if</w:t>
            </w:r>
          </w:p>
        </w:tc>
        <w:tc>
          <w:tcPr>
            <w:tcW w:w="1701" w:type="dxa"/>
            <w:tcBorders>
              <w:top w:val="single" w:sz="8" w:space="0" w:color="auto"/>
              <w:left w:val="dotted" w:sz="4" w:space="0" w:color="auto"/>
              <w:bottom w:val="single" w:sz="8" w:space="0" w:color="auto"/>
              <w:right w:val="single" w:sz="8" w:space="0" w:color="auto"/>
            </w:tcBorders>
            <w:shd w:val="clear" w:color="auto" w:fill="FFCC00"/>
            <w:vAlign w:val="bottom"/>
          </w:tcPr>
          <w:p w:rsidR="00A534FD" w:rsidRPr="00A534FD" w:rsidRDefault="00A534FD" w:rsidP="00A534FD">
            <w:pPr>
              <w:keepNext/>
              <w:spacing w:after="0"/>
              <w:jc w:val="center"/>
              <w:rPr>
                <w:b/>
                <w:bCs/>
                <w:szCs w:val="24"/>
                <w:lang w:eastAsia="en-GB"/>
              </w:rPr>
            </w:pPr>
            <w:r w:rsidRPr="00A534FD">
              <w:rPr>
                <w:b/>
                <w:bCs/>
                <w:szCs w:val="24"/>
                <w:lang w:eastAsia="en-GB"/>
              </w:rPr>
              <w:t>Favourable if</w:t>
            </w:r>
          </w:p>
        </w:tc>
      </w:tr>
      <w:tr w:rsidR="00A534FD" w:rsidRPr="00A534FD" w:rsidTr="003B1E05">
        <w:trPr>
          <w:trHeight w:val="900"/>
        </w:trPr>
        <w:tc>
          <w:tcPr>
            <w:tcW w:w="1740" w:type="dxa"/>
            <w:tcBorders>
              <w:top w:val="nil"/>
              <w:left w:val="dotted" w:sz="4" w:space="0" w:color="auto"/>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general liquidity</w:t>
            </w:r>
          </w:p>
        </w:tc>
        <w:tc>
          <w:tcPr>
            <w:tcW w:w="2386" w:type="dxa"/>
            <w:tcBorders>
              <w:top w:val="nil"/>
              <w:left w:val="nil"/>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current assets/short-term debts</w:t>
            </w:r>
          </w:p>
        </w:tc>
        <w:tc>
          <w:tcPr>
            <w:tcW w:w="1701" w:type="dxa"/>
            <w:tcBorders>
              <w:top w:val="nil"/>
              <w:left w:val="nil"/>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below 1</w:t>
            </w:r>
          </w:p>
        </w:tc>
        <w:tc>
          <w:tcPr>
            <w:tcW w:w="1559" w:type="dxa"/>
            <w:tcBorders>
              <w:top w:val="nil"/>
              <w:left w:val="nil"/>
              <w:bottom w:val="dotted" w:sz="4" w:space="0" w:color="auto"/>
              <w:right w:val="nil"/>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between 1  and 1.25</w:t>
            </w:r>
          </w:p>
        </w:tc>
        <w:tc>
          <w:tcPr>
            <w:tcW w:w="1701" w:type="dxa"/>
            <w:tcBorders>
              <w:top w:val="nil"/>
              <w:left w:val="dotted" w:sz="4" w:space="0" w:color="auto"/>
              <w:bottom w:val="dotted" w:sz="4" w:space="0" w:color="auto"/>
              <w:right w:val="single" w:sz="8" w:space="0" w:color="auto"/>
            </w:tcBorders>
            <w:shd w:val="clear" w:color="auto" w:fill="auto"/>
            <w:vAlign w:val="bottom"/>
          </w:tcPr>
          <w:p w:rsidR="00A534FD" w:rsidRPr="00A534FD" w:rsidRDefault="00277D18" w:rsidP="00A534FD">
            <w:pPr>
              <w:spacing w:after="0"/>
              <w:jc w:val="center"/>
              <w:rPr>
                <w:szCs w:val="24"/>
                <w:lang w:eastAsia="en-GB"/>
              </w:rPr>
            </w:pPr>
            <w:r>
              <w:rPr>
                <w:szCs w:val="24"/>
                <w:lang w:eastAsia="en-GB"/>
              </w:rPr>
              <w:t>a</w:t>
            </w:r>
            <w:r w:rsidR="00A534FD" w:rsidRPr="00A534FD">
              <w:rPr>
                <w:szCs w:val="24"/>
                <w:lang w:eastAsia="en-GB"/>
              </w:rPr>
              <w:t>bove 1.25</w:t>
            </w:r>
          </w:p>
        </w:tc>
      </w:tr>
      <w:tr w:rsidR="00A534FD" w:rsidRPr="00A534FD" w:rsidTr="003B1E05">
        <w:trPr>
          <w:trHeight w:val="900"/>
        </w:trPr>
        <w:tc>
          <w:tcPr>
            <w:tcW w:w="1740" w:type="dxa"/>
            <w:tcBorders>
              <w:top w:val="nil"/>
              <w:left w:val="dotted" w:sz="4" w:space="0" w:color="auto"/>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financial independence</w:t>
            </w:r>
          </w:p>
        </w:tc>
        <w:tc>
          <w:tcPr>
            <w:tcW w:w="2386" w:type="dxa"/>
            <w:tcBorders>
              <w:top w:val="nil"/>
              <w:left w:val="nil"/>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own funds/total liabilities</w:t>
            </w:r>
          </w:p>
        </w:tc>
        <w:tc>
          <w:tcPr>
            <w:tcW w:w="1701" w:type="dxa"/>
            <w:tcBorders>
              <w:top w:val="nil"/>
              <w:left w:val="nil"/>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below 0.20</w:t>
            </w:r>
          </w:p>
        </w:tc>
        <w:tc>
          <w:tcPr>
            <w:tcW w:w="1559" w:type="dxa"/>
            <w:tcBorders>
              <w:top w:val="nil"/>
              <w:left w:val="nil"/>
              <w:bottom w:val="dotted" w:sz="4" w:space="0" w:color="auto"/>
              <w:right w:val="nil"/>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between 0.20 and 0.40</w:t>
            </w:r>
          </w:p>
        </w:tc>
        <w:tc>
          <w:tcPr>
            <w:tcW w:w="1701" w:type="dxa"/>
            <w:tcBorders>
              <w:top w:val="nil"/>
              <w:left w:val="dotted" w:sz="4" w:space="0" w:color="auto"/>
              <w:bottom w:val="dotted" w:sz="4" w:space="0" w:color="auto"/>
              <w:right w:val="single" w:sz="8"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above 0.40</w:t>
            </w:r>
          </w:p>
        </w:tc>
      </w:tr>
      <w:tr w:rsidR="00A534FD" w:rsidRPr="00A534FD" w:rsidTr="003B1E05">
        <w:trPr>
          <w:trHeight w:val="900"/>
        </w:trPr>
        <w:tc>
          <w:tcPr>
            <w:tcW w:w="1740" w:type="dxa"/>
            <w:tcBorders>
              <w:top w:val="nil"/>
              <w:left w:val="dotted" w:sz="4" w:space="0" w:color="auto"/>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indebtedness</w:t>
            </w:r>
          </w:p>
        </w:tc>
        <w:tc>
          <w:tcPr>
            <w:tcW w:w="2386" w:type="dxa"/>
            <w:tcBorders>
              <w:top w:val="nil"/>
              <w:left w:val="nil"/>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own funds/medium &amp; long-term debts (MLT)</w:t>
            </w:r>
          </w:p>
        </w:tc>
        <w:tc>
          <w:tcPr>
            <w:tcW w:w="1701" w:type="dxa"/>
            <w:tcBorders>
              <w:top w:val="nil"/>
              <w:left w:val="nil"/>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below 0.30</w:t>
            </w:r>
          </w:p>
        </w:tc>
        <w:tc>
          <w:tcPr>
            <w:tcW w:w="1559" w:type="dxa"/>
            <w:tcBorders>
              <w:top w:val="nil"/>
              <w:left w:val="nil"/>
              <w:bottom w:val="dotted" w:sz="4" w:space="0" w:color="auto"/>
              <w:right w:val="nil"/>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between 0.30 and 0.60</w:t>
            </w:r>
          </w:p>
        </w:tc>
        <w:tc>
          <w:tcPr>
            <w:tcW w:w="1701" w:type="dxa"/>
            <w:tcBorders>
              <w:top w:val="nil"/>
              <w:left w:val="dotted" w:sz="4" w:space="0" w:color="auto"/>
              <w:bottom w:val="dotted" w:sz="4" w:space="0" w:color="auto"/>
              <w:right w:val="single" w:sz="8"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above 0.60</w:t>
            </w:r>
          </w:p>
        </w:tc>
      </w:tr>
      <w:tr w:rsidR="00A534FD" w:rsidRPr="00A534FD" w:rsidTr="003B1E05">
        <w:trPr>
          <w:trHeight w:val="1500"/>
        </w:trPr>
        <w:tc>
          <w:tcPr>
            <w:tcW w:w="1740" w:type="dxa"/>
            <w:tcBorders>
              <w:top w:val="nil"/>
              <w:left w:val="dotted" w:sz="4" w:space="0" w:color="auto"/>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coverage of deposits and borrowed funds by the SFC</w:t>
            </w:r>
          </w:p>
        </w:tc>
        <w:tc>
          <w:tcPr>
            <w:tcW w:w="2386" w:type="dxa"/>
            <w:tcBorders>
              <w:top w:val="nil"/>
              <w:left w:val="nil"/>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SFC / MLT debts</w:t>
            </w:r>
          </w:p>
        </w:tc>
        <w:tc>
          <w:tcPr>
            <w:tcW w:w="1701" w:type="dxa"/>
            <w:tcBorders>
              <w:top w:val="nil"/>
              <w:left w:val="nil"/>
              <w:bottom w:val="dotted" w:sz="4"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below 0.25</w:t>
            </w:r>
          </w:p>
        </w:tc>
        <w:tc>
          <w:tcPr>
            <w:tcW w:w="1559" w:type="dxa"/>
            <w:tcBorders>
              <w:top w:val="nil"/>
              <w:left w:val="nil"/>
              <w:bottom w:val="dotted" w:sz="4" w:space="0" w:color="auto"/>
              <w:right w:val="nil"/>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between 0.25 and 0.50</w:t>
            </w:r>
          </w:p>
        </w:tc>
        <w:tc>
          <w:tcPr>
            <w:tcW w:w="1701" w:type="dxa"/>
            <w:tcBorders>
              <w:top w:val="nil"/>
              <w:left w:val="dotted" w:sz="4" w:space="0" w:color="auto"/>
              <w:bottom w:val="dotted" w:sz="4" w:space="0" w:color="auto"/>
              <w:right w:val="single" w:sz="8"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above 0.50</w:t>
            </w:r>
          </w:p>
        </w:tc>
      </w:tr>
      <w:tr w:rsidR="00A534FD" w:rsidRPr="00A534FD" w:rsidTr="003B1E05">
        <w:trPr>
          <w:trHeight w:val="915"/>
        </w:trPr>
        <w:tc>
          <w:tcPr>
            <w:tcW w:w="1740" w:type="dxa"/>
            <w:tcBorders>
              <w:top w:val="nil"/>
              <w:left w:val="dotted" w:sz="4" w:space="0" w:color="auto"/>
              <w:bottom w:val="single" w:sz="8"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profitability</w:t>
            </w:r>
          </w:p>
        </w:tc>
        <w:tc>
          <w:tcPr>
            <w:tcW w:w="2386" w:type="dxa"/>
            <w:tcBorders>
              <w:top w:val="nil"/>
              <w:left w:val="nil"/>
              <w:bottom w:val="single" w:sz="8"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gross operating surplus / turnover</w:t>
            </w:r>
          </w:p>
        </w:tc>
        <w:tc>
          <w:tcPr>
            <w:tcW w:w="1701" w:type="dxa"/>
            <w:tcBorders>
              <w:top w:val="nil"/>
              <w:left w:val="nil"/>
              <w:bottom w:val="single" w:sz="8" w:space="0" w:color="auto"/>
              <w:right w:val="dotted" w:sz="4"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below 0.10</w:t>
            </w:r>
          </w:p>
        </w:tc>
        <w:tc>
          <w:tcPr>
            <w:tcW w:w="1559" w:type="dxa"/>
            <w:tcBorders>
              <w:top w:val="nil"/>
              <w:left w:val="nil"/>
              <w:bottom w:val="single" w:sz="8" w:space="0" w:color="auto"/>
              <w:right w:val="nil"/>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between 0.10 and 0.20</w:t>
            </w:r>
          </w:p>
        </w:tc>
        <w:tc>
          <w:tcPr>
            <w:tcW w:w="1701" w:type="dxa"/>
            <w:tcBorders>
              <w:top w:val="nil"/>
              <w:left w:val="dotted" w:sz="4" w:space="0" w:color="auto"/>
              <w:bottom w:val="single" w:sz="8" w:space="0" w:color="auto"/>
              <w:right w:val="single" w:sz="8"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above 0.20</w:t>
            </w:r>
          </w:p>
        </w:tc>
      </w:tr>
    </w:tbl>
    <w:p w:rsidR="00A534FD" w:rsidRPr="00A534FD" w:rsidRDefault="00A534FD" w:rsidP="00A534FD">
      <w:pPr>
        <w:spacing w:after="120"/>
        <w:jc w:val="left"/>
        <w:rPr>
          <w:snapToGrid w:val="0"/>
          <w:szCs w:val="24"/>
        </w:rPr>
      </w:pPr>
    </w:p>
    <w:p w:rsidR="00A534FD" w:rsidRDefault="00A534FD" w:rsidP="00A534FD">
      <w:pPr>
        <w:spacing w:after="0"/>
        <w:jc w:val="left"/>
        <w:rPr>
          <w:snapToGrid w:val="0"/>
          <w:szCs w:val="24"/>
        </w:rPr>
      </w:pPr>
      <w:r w:rsidRPr="00A534FD">
        <w:rPr>
          <w:snapToGrid w:val="0"/>
          <w:szCs w:val="24"/>
        </w:rPr>
        <w:lastRenderedPageBreak/>
        <w:t>Each type of evaluation has a corresponding scoring (number of points) as follows:</w:t>
      </w:r>
    </w:p>
    <w:p w:rsidR="00A534FD" w:rsidRPr="00A534FD" w:rsidRDefault="00A534FD" w:rsidP="00A534FD">
      <w:pPr>
        <w:spacing w:after="0"/>
        <w:jc w:val="left"/>
        <w:rPr>
          <w:snapToGrid w:val="0"/>
          <w:szCs w:val="24"/>
        </w:rPr>
      </w:pPr>
    </w:p>
    <w:tbl>
      <w:tblPr>
        <w:tblW w:w="4776" w:type="dxa"/>
        <w:tblInd w:w="742" w:type="dxa"/>
        <w:tblLook w:val="0000" w:firstRow="0" w:lastRow="0" w:firstColumn="0" w:lastColumn="0" w:noHBand="0" w:noVBand="0"/>
      </w:tblPr>
      <w:tblGrid>
        <w:gridCol w:w="3623"/>
        <w:gridCol w:w="1153"/>
      </w:tblGrid>
      <w:tr w:rsidR="00A534FD" w:rsidRPr="00A534FD" w:rsidTr="003B1E05">
        <w:trPr>
          <w:trHeight w:val="315"/>
        </w:trPr>
        <w:tc>
          <w:tcPr>
            <w:tcW w:w="4776" w:type="dxa"/>
            <w:gridSpan w:val="2"/>
            <w:tcBorders>
              <w:top w:val="single" w:sz="8" w:space="0" w:color="auto"/>
              <w:left w:val="single" w:sz="8" w:space="0" w:color="auto"/>
              <w:bottom w:val="single" w:sz="8" w:space="0" w:color="auto"/>
              <w:right w:val="single" w:sz="8" w:space="0" w:color="000000"/>
            </w:tcBorders>
            <w:shd w:val="clear" w:color="auto" w:fill="FFCC00"/>
            <w:noWrap/>
            <w:vAlign w:val="bottom"/>
          </w:tcPr>
          <w:p w:rsidR="00A534FD" w:rsidRPr="00A534FD" w:rsidRDefault="00A534FD" w:rsidP="00A534FD">
            <w:pPr>
              <w:spacing w:after="0"/>
              <w:jc w:val="center"/>
              <w:rPr>
                <w:b/>
                <w:bCs/>
                <w:szCs w:val="24"/>
                <w:lang w:eastAsia="en-GB"/>
              </w:rPr>
            </w:pPr>
            <w:r w:rsidRPr="00A534FD">
              <w:rPr>
                <w:b/>
                <w:bCs/>
                <w:szCs w:val="24"/>
                <w:lang w:eastAsia="en-GB"/>
              </w:rPr>
              <w:t>Scoring</w:t>
            </w:r>
          </w:p>
        </w:tc>
      </w:tr>
      <w:tr w:rsidR="00A534FD" w:rsidRPr="00A534FD" w:rsidTr="003B1E05">
        <w:trPr>
          <w:trHeight w:val="600"/>
        </w:trPr>
        <w:tc>
          <w:tcPr>
            <w:tcW w:w="3623" w:type="dxa"/>
            <w:tcBorders>
              <w:top w:val="nil"/>
              <w:left w:val="single" w:sz="8" w:space="0" w:color="auto"/>
              <w:bottom w:val="nil"/>
              <w:right w:val="nil"/>
            </w:tcBorders>
            <w:shd w:val="clear" w:color="auto" w:fill="auto"/>
            <w:noWrap/>
            <w:vAlign w:val="bottom"/>
          </w:tcPr>
          <w:p w:rsidR="00A534FD" w:rsidRPr="00A534FD" w:rsidRDefault="00A534FD" w:rsidP="00A534FD">
            <w:pPr>
              <w:spacing w:after="0"/>
              <w:jc w:val="left"/>
              <w:rPr>
                <w:szCs w:val="24"/>
                <w:lang w:eastAsia="en-GB"/>
              </w:rPr>
            </w:pPr>
            <w:r w:rsidRPr="00A534FD">
              <w:rPr>
                <w:szCs w:val="24"/>
                <w:lang w:eastAsia="en-GB"/>
              </w:rPr>
              <w:t>Unfavourable value/ratio</w:t>
            </w:r>
          </w:p>
        </w:tc>
        <w:tc>
          <w:tcPr>
            <w:tcW w:w="1153" w:type="dxa"/>
            <w:tcBorders>
              <w:top w:val="nil"/>
              <w:left w:val="nil"/>
              <w:bottom w:val="nil"/>
              <w:right w:val="single" w:sz="8"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0 points</w:t>
            </w:r>
          </w:p>
        </w:tc>
      </w:tr>
      <w:tr w:rsidR="00A534FD" w:rsidRPr="00A534FD" w:rsidTr="003B1E05">
        <w:trPr>
          <w:trHeight w:val="300"/>
        </w:trPr>
        <w:tc>
          <w:tcPr>
            <w:tcW w:w="3623" w:type="dxa"/>
            <w:tcBorders>
              <w:top w:val="nil"/>
              <w:left w:val="single" w:sz="8" w:space="0" w:color="auto"/>
              <w:bottom w:val="nil"/>
              <w:right w:val="nil"/>
            </w:tcBorders>
            <w:shd w:val="clear" w:color="auto" w:fill="auto"/>
            <w:noWrap/>
            <w:vAlign w:val="bottom"/>
          </w:tcPr>
          <w:p w:rsidR="00A534FD" w:rsidRPr="00A534FD" w:rsidRDefault="00A534FD" w:rsidP="00A534FD">
            <w:pPr>
              <w:spacing w:after="0"/>
              <w:jc w:val="left"/>
              <w:rPr>
                <w:szCs w:val="24"/>
                <w:lang w:eastAsia="en-GB"/>
              </w:rPr>
            </w:pPr>
            <w:r w:rsidRPr="00A534FD">
              <w:rPr>
                <w:szCs w:val="24"/>
                <w:lang w:eastAsia="en-GB"/>
              </w:rPr>
              <w:t>Favourable value</w:t>
            </w:r>
          </w:p>
        </w:tc>
        <w:tc>
          <w:tcPr>
            <w:tcW w:w="1153" w:type="dxa"/>
            <w:tcBorders>
              <w:top w:val="nil"/>
              <w:left w:val="nil"/>
              <w:bottom w:val="nil"/>
              <w:right w:val="single" w:sz="8"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1 point</w:t>
            </w:r>
          </w:p>
        </w:tc>
      </w:tr>
      <w:tr w:rsidR="00A534FD" w:rsidRPr="00A534FD" w:rsidTr="00A534FD">
        <w:trPr>
          <w:trHeight w:val="300"/>
        </w:trPr>
        <w:tc>
          <w:tcPr>
            <w:tcW w:w="3623" w:type="dxa"/>
            <w:tcBorders>
              <w:top w:val="nil"/>
              <w:left w:val="single" w:sz="8" w:space="0" w:color="auto"/>
              <w:right w:val="nil"/>
            </w:tcBorders>
            <w:shd w:val="clear" w:color="auto" w:fill="auto"/>
            <w:noWrap/>
            <w:vAlign w:val="bottom"/>
          </w:tcPr>
          <w:p w:rsidR="00A534FD" w:rsidRPr="00A534FD" w:rsidRDefault="00A534FD" w:rsidP="00A534FD">
            <w:pPr>
              <w:spacing w:after="0"/>
              <w:jc w:val="left"/>
              <w:rPr>
                <w:szCs w:val="24"/>
                <w:lang w:eastAsia="en-GB"/>
              </w:rPr>
            </w:pPr>
            <w:r w:rsidRPr="00A534FD">
              <w:rPr>
                <w:szCs w:val="24"/>
                <w:lang w:eastAsia="en-GB"/>
              </w:rPr>
              <w:t>Average ratio</w:t>
            </w:r>
          </w:p>
        </w:tc>
        <w:tc>
          <w:tcPr>
            <w:tcW w:w="1153" w:type="dxa"/>
            <w:tcBorders>
              <w:top w:val="nil"/>
              <w:left w:val="nil"/>
              <w:right w:val="single" w:sz="8"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1 point</w:t>
            </w:r>
          </w:p>
        </w:tc>
      </w:tr>
      <w:tr w:rsidR="00A534FD" w:rsidRPr="00A534FD" w:rsidTr="00A534FD">
        <w:trPr>
          <w:trHeight w:val="300"/>
        </w:trPr>
        <w:tc>
          <w:tcPr>
            <w:tcW w:w="3623" w:type="dxa"/>
            <w:tcBorders>
              <w:top w:val="nil"/>
              <w:left w:val="single" w:sz="8" w:space="0" w:color="auto"/>
              <w:bottom w:val="single" w:sz="4" w:space="0" w:color="auto"/>
              <w:right w:val="nil"/>
            </w:tcBorders>
            <w:shd w:val="clear" w:color="auto" w:fill="auto"/>
            <w:noWrap/>
            <w:vAlign w:val="bottom"/>
          </w:tcPr>
          <w:p w:rsidR="00A534FD" w:rsidRPr="00A534FD" w:rsidRDefault="00A534FD" w:rsidP="00A534FD">
            <w:pPr>
              <w:spacing w:after="0"/>
              <w:jc w:val="left"/>
              <w:rPr>
                <w:szCs w:val="24"/>
                <w:lang w:eastAsia="en-GB"/>
              </w:rPr>
            </w:pPr>
            <w:r w:rsidRPr="00A534FD">
              <w:rPr>
                <w:szCs w:val="24"/>
                <w:lang w:eastAsia="en-GB"/>
              </w:rPr>
              <w:t>Favourable ratio</w:t>
            </w:r>
          </w:p>
        </w:tc>
        <w:tc>
          <w:tcPr>
            <w:tcW w:w="1153" w:type="dxa"/>
            <w:tcBorders>
              <w:top w:val="nil"/>
              <w:left w:val="nil"/>
              <w:bottom w:val="single" w:sz="4" w:space="0" w:color="auto"/>
              <w:right w:val="single" w:sz="8" w:space="0" w:color="auto"/>
            </w:tcBorders>
            <w:shd w:val="clear" w:color="auto" w:fill="auto"/>
            <w:vAlign w:val="bottom"/>
          </w:tcPr>
          <w:p w:rsidR="00A534FD" w:rsidRPr="00A534FD" w:rsidRDefault="00A534FD" w:rsidP="00A534FD">
            <w:pPr>
              <w:spacing w:after="0"/>
              <w:jc w:val="center"/>
              <w:rPr>
                <w:szCs w:val="24"/>
                <w:lang w:eastAsia="en-GB"/>
              </w:rPr>
            </w:pPr>
            <w:r w:rsidRPr="00A534FD">
              <w:rPr>
                <w:szCs w:val="24"/>
                <w:lang w:eastAsia="en-GB"/>
              </w:rPr>
              <w:t>2 points</w:t>
            </w:r>
          </w:p>
        </w:tc>
      </w:tr>
    </w:tbl>
    <w:p w:rsidR="00A534FD" w:rsidRDefault="00A534FD" w:rsidP="00A534FD">
      <w:pPr>
        <w:spacing w:after="120"/>
        <w:rPr>
          <w:snapToGrid w:val="0"/>
          <w:szCs w:val="24"/>
        </w:rPr>
      </w:pPr>
    </w:p>
    <w:p w:rsidR="00A534FD" w:rsidRPr="00A534FD" w:rsidRDefault="00A534FD" w:rsidP="00A534FD">
      <w:pPr>
        <w:spacing w:after="120"/>
        <w:rPr>
          <w:snapToGrid w:val="0"/>
          <w:szCs w:val="24"/>
        </w:rPr>
      </w:pPr>
      <w:r w:rsidRPr="00A534FD">
        <w:rPr>
          <w:snapToGrid w:val="0"/>
          <w:szCs w:val="24"/>
        </w:rPr>
        <w:t xml:space="preserve">In order to meet the financial capacity criterion, the </w:t>
      </w:r>
      <w:r w:rsidR="00E733E7">
        <w:rPr>
          <w:snapToGrid w:val="0"/>
          <w:szCs w:val="24"/>
        </w:rPr>
        <w:t>applicant laboratory</w:t>
      </w:r>
      <w:r w:rsidRPr="00A534FD">
        <w:rPr>
          <w:snapToGrid w:val="0"/>
          <w:szCs w:val="24"/>
        </w:rPr>
        <w:t xml:space="preserve"> must obtain a score of at least 8 points (out of a total of 16 points), which corresponds to 50% of the </w:t>
      </w:r>
      <w:proofErr w:type="gramStart"/>
      <w:r w:rsidRPr="00A534FD">
        <w:rPr>
          <w:snapToGrid w:val="0"/>
          <w:szCs w:val="24"/>
        </w:rPr>
        <w:t>maximum  number</w:t>
      </w:r>
      <w:proofErr w:type="gramEnd"/>
      <w:r w:rsidRPr="00A534FD">
        <w:rPr>
          <w:snapToGrid w:val="0"/>
          <w:szCs w:val="24"/>
        </w:rPr>
        <w:t xml:space="preserve"> of points.</w:t>
      </w:r>
    </w:p>
    <w:p w:rsidR="00A534FD" w:rsidRPr="004432CF" w:rsidRDefault="00A534FD" w:rsidP="00277D18">
      <w:pPr>
        <w:spacing w:after="120"/>
        <w:rPr>
          <w:snapToGrid w:val="0"/>
          <w:szCs w:val="24"/>
        </w:rPr>
      </w:pPr>
      <w:proofErr w:type="gramStart"/>
      <w:r w:rsidRPr="00A534FD">
        <w:rPr>
          <w:snapToGrid w:val="0"/>
          <w:szCs w:val="24"/>
        </w:rPr>
        <w:t>If, for some exceptional reason which the contracting authority considers justified, the candidate is unable to provide the references requested by the contracting authority, or if he feels that the financial viability check does not provide an accurate picture of his organisation's financial status, he may prove his economic and financial capacity by any other means which the Commission considers appropriate.</w:t>
      </w:r>
      <w:proofErr w:type="gramEnd"/>
      <w:r w:rsidRPr="004432CF">
        <w:rPr>
          <w:snapToGrid w:val="0"/>
          <w:szCs w:val="24"/>
        </w:rPr>
        <w:t xml:space="preserve"> </w:t>
      </w:r>
    </w:p>
    <w:p w:rsidR="00383965" w:rsidRPr="00277D18" w:rsidRDefault="0053774C" w:rsidP="00277D18">
      <w:pPr>
        <w:spacing w:after="120"/>
        <w:rPr>
          <w:snapToGrid w:val="0"/>
          <w:szCs w:val="24"/>
        </w:rPr>
      </w:pPr>
    </w:p>
    <w:sectPr w:rsidR="00383965" w:rsidRPr="00277D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BF" w:rsidRDefault="003842BF" w:rsidP="003842BF">
      <w:pPr>
        <w:spacing w:after="0"/>
      </w:pPr>
      <w:r>
        <w:separator/>
      </w:r>
    </w:p>
  </w:endnote>
  <w:endnote w:type="continuationSeparator" w:id="0">
    <w:p w:rsidR="003842BF" w:rsidRDefault="003842BF" w:rsidP="003842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BF" w:rsidRDefault="00384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BF" w:rsidRDefault="003842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BF" w:rsidRDefault="00384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BF" w:rsidRDefault="003842BF" w:rsidP="003842BF">
      <w:pPr>
        <w:spacing w:after="0"/>
      </w:pPr>
      <w:r>
        <w:separator/>
      </w:r>
    </w:p>
  </w:footnote>
  <w:footnote w:type="continuationSeparator" w:id="0">
    <w:p w:rsidR="003842BF" w:rsidRDefault="003842BF" w:rsidP="003842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BF" w:rsidRDefault="00384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BF" w:rsidRDefault="003842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BF" w:rsidRDefault="00384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534FD"/>
    <w:rsid w:val="000071D5"/>
    <w:rsid w:val="00045F15"/>
    <w:rsid w:val="00277D18"/>
    <w:rsid w:val="002953DE"/>
    <w:rsid w:val="002B4014"/>
    <w:rsid w:val="003842BF"/>
    <w:rsid w:val="0053774C"/>
    <w:rsid w:val="00A534FD"/>
    <w:rsid w:val="00D152BA"/>
    <w:rsid w:val="00E708BC"/>
    <w:rsid w:val="00E73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FD"/>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BF"/>
    <w:pPr>
      <w:tabs>
        <w:tab w:val="center" w:pos="4513"/>
        <w:tab w:val="right" w:pos="9026"/>
      </w:tabs>
      <w:spacing w:after="0"/>
    </w:pPr>
  </w:style>
  <w:style w:type="character" w:customStyle="1" w:styleId="HeaderChar">
    <w:name w:val="Header Char"/>
    <w:basedOn w:val="DefaultParagraphFont"/>
    <w:link w:val="Header"/>
    <w:uiPriority w:val="99"/>
    <w:rsid w:val="003842B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42BF"/>
    <w:pPr>
      <w:tabs>
        <w:tab w:val="center" w:pos="4513"/>
        <w:tab w:val="right" w:pos="9026"/>
      </w:tabs>
      <w:spacing w:after="0"/>
    </w:pPr>
  </w:style>
  <w:style w:type="character" w:customStyle="1" w:styleId="FooterChar">
    <w:name w:val="Footer Char"/>
    <w:basedOn w:val="DefaultParagraphFont"/>
    <w:link w:val="Footer"/>
    <w:uiPriority w:val="99"/>
    <w:rsid w:val="003842B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FD"/>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BF"/>
    <w:pPr>
      <w:tabs>
        <w:tab w:val="center" w:pos="4513"/>
        <w:tab w:val="right" w:pos="9026"/>
      </w:tabs>
      <w:spacing w:after="0"/>
    </w:pPr>
  </w:style>
  <w:style w:type="character" w:customStyle="1" w:styleId="HeaderChar">
    <w:name w:val="Header Char"/>
    <w:basedOn w:val="DefaultParagraphFont"/>
    <w:link w:val="Header"/>
    <w:uiPriority w:val="99"/>
    <w:rsid w:val="003842B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42BF"/>
    <w:pPr>
      <w:tabs>
        <w:tab w:val="center" w:pos="4513"/>
        <w:tab w:val="right" w:pos="9026"/>
      </w:tabs>
      <w:spacing w:after="0"/>
    </w:pPr>
  </w:style>
  <w:style w:type="character" w:customStyle="1" w:styleId="FooterChar">
    <w:name w:val="Footer Char"/>
    <w:basedOn w:val="DefaultParagraphFont"/>
    <w:link w:val="Footer"/>
    <w:uiPriority w:val="99"/>
    <w:rsid w:val="003842B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Munaut (SANTE)</dc:creator>
  <cp:lastModifiedBy>FRANCOISE Munaut (SANTE)</cp:lastModifiedBy>
  <cp:revision>9</cp:revision>
  <dcterms:created xsi:type="dcterms:W3CDTF">2018-04-12T08:48:00Z</dcterms:created>
  <dcterms:modified xsi:type="dcterms:W3CDTF">2018-05-22T09:45:00Z</dcterms:modified>
</cp:coreProperties>
</file>